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CB9C" w14:textId="77777777" w:rsidR="00481933" w:rsidRPr="00C67013" w:rsidRDefault="00481933" w:rsidP="00481933">
      <w:pPr>
        <w:jc w:val="both"/>
        <w:rPr>
          <w:sz w:val="20"/>
          <w:szCs w:val="21"/>
        </w:rPr>
      </w:pPr>
      <w:bookmarkStart w:id="0" w:name="_GoBack"/>
      <w:bookmarkEnd w:id="0"/>
    </w:p>
    <w:p w14:paraId="32860D47" w14:textId="40A269BD" w:rsidR="003A6B7C" w:rsidRDefault="003A6B7C" w:rsidP="00481933">
      <w:pPr>
        <w:pStyle w:val="Textoindependiente"/>
        <w:jc w:val="center"/>
        <w:rPr>
          <w:rFonts w:ascii="Times New Roman" w:hAnsi="Times New Roman"/>
          <w:b/>
          <w:szCs w:val="21"/>
          <w:u w:val="single"/>
          <w:lang w:val="es-AR"/>
        </w:rPr>
      </w:pPr>
      <w:r>
        <w:rPr>
          <w:rFonts w:ascii="Times New Roman" w:hAnsi="Times New Roman"/>
          <w:b/>
          <w:szCs w:val="21"/>
          <w:u w:val="single"/>
          <w:lang w:val="es-AR"/>
        </w:rPr>
        <w:t>FIDEICOMISO FINANCIERO WOFA I</w:t>
      </w:r>
    </w:p>
    <w:p w14:paraId="5BB818F6" w14:textId="77777777" w:rsidR="003A6B7C" w:rsidRDefault="003A6B7C" w:rsidP="00481933">
      <w:pPr>
        <w:pStyle w:val="Textoindependiente"/>
        <w:jc w:val="center"/>
        <w:rPr>
          <w:rFonts w:ascii="Times New Roman" w:hAnsi="Times New Roman"/>
          <w:b/>
          <w:szCs w:val="21"/>
          <w:u w:val="single"/>
          <w:lang w:val="es-AR"/>
        </w:rPr>
      </w:pPr>
    </w:p>
    <w:p w14:paraId="34CFEFEC" w14:textId="31BF3F5E" w:rsidR="00481933" w:rsidRPr="00D90AA5" w:rsidRDefault="00481933" w:rsidP="00481933">
      <w:pPr>
        <w:pStyle w:val="Textoindependiente"/>
        <w:jc w:val="center"/>
        <w:rPr>
          <w:rFonts w:ascii="Times New Roman" w:hAnsi="Times New Roman"/>
          <w:b/>
          <w:szCs w:val="21"/>
          <w:u w:val="single"/>
        </w:rPr>
      </w:pPr>
      <w:r w:rsidRPr="00D90AA5">
        <w:rPr>
          <w:rFonts w:ascii="Times New Roman" w:hAnsi="Times New Roman"/>
          <w:b/>
          <w:szCs w:val="21"/>
          <w:u w:val="single"/>
        </w:rPr>
        <w:t xml:space="preserve">RESUMEN DE TÉRMINOS Y CONDICIONES DE LOS VALORES DE DEUDA FIDUCIARIA </w:t>
      </w:r>
    </w:p>
    <w:p w14:paraId="2833F8D1" w14:textId="77777777" w:rsidR="00481933" w:rsidRPr="00D90AA5" w:rsidRDefault="00481933" w:rsidP="00481933">
      <w:pPr>
        <w:pStyle w:val="Textoindependiente"/>
        <w:jc w:val="center"/>
        <w:rPr>
          <w:rFonts w:ascii="Times New Roman" w:hAnsi="Times New Roman"/>
          <w:b/>
          <w:szCs w:val="21"/>
          <w:u w:val="single"/>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02"/>
        <w:gridCol w:w="7207"/>
      </w:tblGrid>
      <w:tr w:rsidR="00481933" w:rsidRPr="00D90AA5" w14:paraId="7FEF05E2" w14:textId="77777777" w:rsidTr="000E2401">
        <w:trPr>
          <w:cantSplit/>
          <w:trHeight w:val="518"/>
        </w:trPr>
        <w:tc>
          <w:tcPr>
            <w:tcW w:w="2502" w:type="dxa"/>
          </w:tcPr>
          <w:p w14:paraId="54F7086A" w14:textId="4349CCA8" w:rsidR="00481933" w:rsidRPr="00D2183C" w:rsidRDefault="00504FC8" w:rsidP="000E2401">
            <w:pPr>
              <w:widowControl w:val="0"/>
              <w:suppressLineNumbers/>
              <w:suppressAutoHyphens/>
              <w:rPr>
                <w:b/>
                <w:sz w:val="20"/>
                <w:szCs w:val="20"/>
              </w:rPr>
            </w:pPr>
            <w:r w:rsidRPr="00D2183C">
              <w:rPr>
                <w:b/>
                <w:sz w:val="20"/>
                <w:szCs w:val="20"/>
              </w:rPr>
              <w:t xml:space="preserve">1. </w:t>
            </w:r>
            <w:r w:rsidR="00481933" w:rsidRPr="00D2183C">
              <w:rPr>
                <w:b/>
                <w:sz w:val="20"/>
                <w:szCs w:val="20"/>
              </w:rPr>
              <w:t>Fideicomiso Financiero</w:t>
            </w:r>
          </w:p>
        </w:tc>
        <w:tc>
          <w:tcPr>
            <w:tcW w:w="7207" w:type="dxa"/>
          </w:tcPr>
          <w:p w14:paraId="240AB356" w14:textId="74B3042C" w:rsidR="00481933" w:rsidRPr="00D2183C" w:rsidRDefault="003A6B7C" w:rsidP="000E2401">
            <w:pPr>
              <w:widowControl w:val="0"/>
              <w:suppressLineNumbers/>
              <w:suppressAutoHyphens/>
              <w:rPr>
                <w:sz w:val="20"/>
                <w:szCs w:val="20"/>
                <w:lang w:val="es-ES"/>
              </w:rPr>
            </w:pPr>
            <w:r w:rsidRPr="00D2183C">
              <w:rPr>
                <w:sz w:val="20"/>
                <w:szCs w:val="20"/>
              </w:rPr>
              <w:t>W</w:t>
            </w:r>
            <w:r w:rsidR="00D866DC" w:rsidRPr="00D2183C">
              <w:rPr>
                <w:sz w:val="20"/>
                <w:szCs w:val="20"/>
              </w:rPr>
              <w:t>of</w:t>
            </w:r>
            <w:r w:rsidRPr="00D2183C">
              <w:rPr>
                <w:sz w:val="20"/>
                <w:szCs w:val="20"/>
              </w:rPr>
              <w:t xml:space="preserve">A </w:t>
            </w:r>
            <w:r w:rsidR="00481933" w:rsidRPr="00D2183C">
              <w:rPr>
                <w:sz w:val="20"/>
                <w:szCs w:val="20"/>
              </w:rPr>
              <w:t xml:space="preserve">I, a emitirse bajo </w:t>
            </w:r>
            <w:r w:rsidRPr="00D2183C">
              <w:rPr>
                <w:sz w:val="20"/>
                <w:szCs w:val="20"/>
              </w:rPr>
              <w:t>un</w:t>
            </w:r>
            <w:r w:rsidR="00481933" w:rsidRPr="00D2183C">
              <w:rPr>
                <w:sz w:val="20"/>
                <w:szCs w:val="20"/>
              </w:rPr>
              <w:t xml:space="preserve"> Programa Global de Valores Fiduciarios</w:t>
            </w:r>
            <w:r w:rsidR="006357D1" w:rsidRPr="00D2183C">
              <w:rPr>
                <w:sz w:val="20"/>
                <w:szCs w:val="20"/>
              </w:rPr>
              <w:t xml:space="preserve"> </w:t>
            </w:r>
            <w:r w:rsidRPr="00D2183C">
              <w:rPr>
                <w:sz w:val="20"/>
                <w:szCs w:val="20"/>
                <w:lang w:val="es-ES"/>
              </w:rPr>
              <w:t>WOFA</w:t>
            </w:r>
          </w:p>
          <w:p w14:paraId="498EA223" w14:textId="77777777" w:rsidR="00481933" w:rsidRPr="00D2183C" w:rsidRDefault="00481933" w:rsidP="000E2401">
            <w:pPr>
              <w:widowControl w:val="0"/>
              <w:suppressLineNumbers/>
              <w:suppressAutoHyphens/>
              <w:rPr>
                <w:sz w:val="20"/>
                <w:szCs w:val="20"/>
              </w:rPr>
            </w:pPr>
          </w:p>
        </w:tc>
      </w:tr>
      <w:tr w:rsidR="00481933" w:rsidRPr="00D90AA5" w14:paraId="6949BCAF" w14:textId="77777777" w:rsidTr="000E2401">
        <w:trPr>
          <w:cantSplit/>
          <w:trHeight w:val="399"/>
        </w:trPr>
        <w:tc>
          <w:tcPr>
            <w:tcW w:w="2502" w:type="dxa"/>
          </w:tcPr>
          <w:p w14:paraId="0FC1A1E5" w14:textId="32F7D90F" w:rsidR="00481933" w:rsidRPr="00D2183C" w:rsidRDefault="00504FC8" w:rsidP="000E2401">
            <w:pPr>
              <w:widowControl w:val="0"/>
              <w:suppressLineNumbers/>
              <w:suppressAutoHyphens/>
              <w:rPr>
                <w:b/>
                <w:sz w:val="20"/>
                <w:szCs w:val="20"/>
              </w:rPr>
            </w:pPr>
            <w:r w:rsidRPr="00D2183C">
              <w:rPr>
                <w:b/>
                <w:sz w:val="20"/>
                <w:szCs w:val="20"/>
              </w:rPr>
              <w:t xml:space="preserve">2. </w:t>
            </w:r>
            <w:r w:rsidR="00481933" w:rsidRPr="00D2183C">
              <w:rPr>
                <w:b/>
                <w:sz w:val="20"/>
                <w:szCs w:val="20"/>
              </w:rPr>
              <w:t xml:space="preserve">Monto de emisión </w:t>
            </w:r>
          </w:p>
        </w:tc>
        <w:tc>
          <w:tcPr>
            <w:tcW w:w="7207" w:type="dxa"/>
          </w:tcPr>
          <w:p w14:paraId="126C8C29" w14:textId="7304CDC5" w:rsidR="00481933" w:rsidRPr="00D2183C" w:rsidRDefault="00481933" w:rsidP="00D866DC">
            <w:pPr>
              <w:pStyle w:val="notaalpie"/>
              <w:widowControl w:val="0"/>
              <w:suppressLineNumbers/>
              <w:suppressAutoHyphens/>
              <w:rPr>
                <w:rFonts w:ascii="Times New Roman" w:hAnsi="Times New Roman"/>
              </w:rPr>
            </w:pPr>
            <w:r w:rsidRPr="00D2183C">
              <w:rPr>
                <w:rFonts w:ascii="Times New Roman" w:hAnsi="Times New Roman"/>
                <w:color w:val="000000"/>
                <w:lang w:val="es-ES"/>
              </w:rPr>
              <w:t>U$S</w:t>
            </w:r>
            <w:r w:rsidRPr="00D2183C">
              <w:rPr>
                <w:rFonts w:ascii="Times New Roman" w:hAnsi="Times New Roman"/>
              </w:rPr>
              <w:t xml:space="preserve"> </w:t>
            </w:r>
            <w:r w:rsidR="00D866DC" w:rsidRPr="00D2183C">
              <w:rPr>
                <w:rFonts w:ascii="Times New Roman" w:hAnsi="Times New Roman"/>
              </w:rPr>
              <w:t>7</w:t>
            </w:r>
            <w:r w:rsidR="00BB0389" w:rsidRPr="00D2183C">
              <w:rPr>
                <w:rFonts w:ascii="Times New Roman" w:hAnsi="Times New Roman"/>
              </w:rPr>
              <w:t>.000.000 (</w:t>
            </w:r>
            <w:r w:rsidR="00D866DC" w:rsidRPr="00D2183C">
              <w:rPr>
                <w:rFonts w:ascii="Times New Roman" w:hAnsi="Times New Roman"/>
              </w:rPr>
              <w:t>siete</w:t>
            </w:r>
            <w:r w:rsidR="00BB0389" w:rsidRPr="00D2183C">
              <w:rPr>
                <w:rFonts w:ascii="Times New Roman" w:hAnsi="Times New Roman"/>
              </w:rPr>
              <w:t xml:space="preserve"> millones de dólares estadounidenses –“Dólares”-).</w:t>
            </w:r>
          </w:p>
        </w:tc>
      </w:tr>
      <w:tr w:rsidR="00481933" w:rsidRPr="00D90AA5" w14:paraId="05EBBFF7" w14:textId="77777777" w:rsidTr="000E2401">
        <w:trPr>
          <w:cantSplit/>
          <w:trHeight w:val="307"/>
        </w:trPr>
        <w:tc>
          <w:tcPr>
            <w:tcW w:w="2502" w:type="dxa"/>
          </w:tcPr>
          <w:p w14:paraId="4CD883D4" w14:textId="694ED8A2" w:rsidR="00481933" w:rsidRPr="00D2183C" w:rsidRDefault="00504FC8" w:rsidP="000E2401">
            <w:pPr>
              <w:widowControl w:val="0"/>
              <w:suppressLineNumbers/>
              <w:suppressAutoHyphens/>
              <w:rPr>
                <w:b/>
                <w:sz w:val="20"/>
                <w:szCs w:val="20"/>
              </w:rPr>
            </w:pPr>
            <w:r w:rsidRPr="00D2183C">
              <w:rPr>
                <w:b/>
                <w:sz w:val="20"/>
                <w:szCs w:val="20"/>
              </w:rPr>
              <w:t xml:space="preserve">3. </w:t>
            </w:r>
            <w:r w:rsidR="00481933" w:rsidRPr="00D2183C">
              <w:rPr>
                <w:b/>
                <w:sz w:val="20"/>
                <w:szCs w:val="20"/>
              </w:rPr>
              <w:t>Fiduciario</w:t>
            </w:r>
          </w:p>
        </w:tc>
        <w:tc>
          <w:tcPr>
            <w:tcW w:w="7207" w:type="dxa"/>
          </w:tcPr>
          <w:p w14:paraId="29463854" w14:textId="6FCB72D0" w:rsidR="00481933" w:rsidRPr="00D2183C" w:rsidRDefault="00D866DC" w:rsidP="00866E8D">
            <w:pPr>
              <w:widowControl w:val="0"/>
              <w:suppressLineNumbers/>
              <w:suppressAutoHyphens/>
              <w:rPr>
                <w:sz w:val="20"/>
                <w:szCs w:val="20"/>
              </w:rPr>
            </w:pPr>
            <w:r w:rsidRPr="00D2183C">
              <w:rPr>
                <w:sz w:val="20"/>
                <w:szCs w:val="20"/>
              </w:rPr>
              <w:t>A definir (se propone al Banco de Valores)</w:t>
            </w:r>
          </w:p>
        </w:tc>
      </w:tr>
      <w:tr w:rsidR="00481933" w:rsidRPr="00D90AA5" w14:paraId="1DED26AC" w14:textId="77777777" w:rsidTr="000E2401">
        <w:trPr>
          <w:cantSplit/>
          <w:trHeight w:val="518"/>
        </w:trPr>
        <w:tc>
          <w:tcPr>
            <w:tcW w:w="2502" w:type="dxa"/>
          </w:tcPr>
          <w:p w14:paraId="40302B37" w14:textId="10D9AF6F" w:rsidR="00481933" w:rsidRPr="00D2183C" w:rsidRDefault="00504FC8" w:rsidP="000E2401">
            <w:pPr>
              <w:widowControl w:val="0"/>
              <w:suppressLineNumbers/>
              <w:suppressAutoHyphens/>
              <w:rPr>
                <w:b/>
                <w:sz w:val="20"/>
                <w:szCs w:val="20"/>
              </w:rPr>
            </w:pPr>
            <w:r w:rsidRPr="00D2183C">
              <w:rPr>
                <w:b/>
                <w:sz w:val="20"/>
                <w:szCs w:val="20"/>
              </w:rPr>
              <w:t xml:space="preserve">4. </w:t>
            </w:r>
            <w:r w:rsidR="00481933" w:rsidRPr="00D2183C">
              <w:rPr>
                <w:b/>
                <w:sz w:val="20"/>
                <w:szCs w:val="20"/>
              </w:rPr>
              <w:t>Fiduciante</w:t>
            </w:r>
            <w:r w:rsidR="003A6B7C" w:rsidRPr="00D2183C">
              <w:rPr>
                <w:b/>
                <w:sz w:val="20"/>
                <w:szCs w:val="20"/>
              </w:rPr>
              <w:t>s</w:t>
            </w:r>
          </w:p>
        </w:tc>
        <w:tc>
          <w:tcPr>
            <w:tcW w:w="7207" w:type="dxa"/>
          </w:tcPr>
          <w:p w14:paraId="12F6B792" w14:textId="713D462D" w:rsidR="00481933" w:rsidRPr="00D2183C" w:rsidRDefault="003A6B7C" w:rsidP="00D866DC">
            <w:pPr>
              <w:widowControl w:val="0"/>
              <w:suppressLineNumbers/>
              <w:suppressAutoHyphens/>
              <w:jc w:val="both"/>
              <w:rPr>
                <w:sz w:val="20"/>
                <w:szCs w:val="20"/>
              </w:rPr>
            </w:pPr>
            <w:r w:rsidRPr="00D2183C">
              <w:rPr>
                <w:sz w:val="20"/>
                <w:szCs w:val="20"/>
              </w:rPr>
              <w:t xml:space="preserve">Firmas bodegueras asociadas a </w:t>
            </w:r>
            <w:proofErr w:type="spellStart"/>
            <w:r w:rsidRPr="00D2183C">
              <w:rPr>
                <w:sz w:val="20"/>
                <w:szCs w:val="20"/>
              </w:rPr>
              <w:t>W</w:t>
            </w:r>
            <w:r w:rsidR="00D866DC" w:rsidRPr="00D2183C">
              <w:rPr>
                <w:sz w:val="20"/>
                <w:szCs w:val="20"/>
              </w:rPr>
              <w:t>of</w:t>
            </w:r>
            <w:r w:rsidRPr="00D2183C">
              <w:rPr>
                <w:sz w:val="20"/>
                <w:szCs w:val="20"/>
              </w:rPr>
              <w:t>A</w:t>
            </w:r>
            <w:proofErr w:type="spellEnd"/>
            <w:r w:rsidRPr="00D2183C">
              <w:rPr>
                <w:sz w:val="20"/>
                <w:szCs w:val="20"/>
              </w:rPr>
              <w:t xml:space="preserve"> que exporten asiduamente</w:t>
            </w:r>
          </w:p>
        </w:tc>
      </w:tr>
      <w:tr w:rsidR="00481933" w:rsidRPr="00D90AA5" w14:paraId="14D677D6" w14:textId="77777777" w:rsidTr="000E2401">
        <w:trPr>
          <w:cantSplit/>
          <w:trHeight w:val="403"/>
        </w:trPr>
        <w:tc>
          <w:tcPr>
            <w:tcW w:w="2502" w:type="dxa"/>
          </w:tcPr>
          <w:p w14:paraId="2DF144AA" w14:textId="0A2BF8C3" w:rsidR="00481933" w:rsidRPr="00D2183C" w:rsidRDefault="00504FC8" w:rsidP="000E2401">
            <w:pPr>
              <w:widowControl w:val="0"/>
              <w:suppressLineNumbers/>
              <w:suppressAutoHyphens/>
              <w:rPr>
                <w:b/>
                <w:sz w:val="20"/>
                <w:szCs w:val="20"/>
              </w:rPr>
            </w:pPr>
            <w:r w:rsidRPr="00D2183C">
              <w:rPr>
                <w:b/>
                <w:sz w:val="20"/>
                <w:szCs w:val="20"/>
              </w:rPr>
              <w:t xml:space="preserve">5. </w:t>
            </w:r>
            <w:r w:rsidR="00481933" w:rsidRPr="00D2183C">
              <w:rPr>
                <w:b/>
                <w:sz w:val="20"/>
                <w:szCs w:val="20"/>
              </w:rPr>
              <w:t>Emisor</w:t>
            </w:r>
          </w:p>
        </w:tc>
        <w:tc>
          <w:tcPr>
            <w:tcW w:w="7207" w:type="dxa"/>
          </w:tcPr>
          <w:p w14:paraId="1BE3FFBB" w14:textId="0493D1F2" w:rsidR="00481933" w:rsidRPr="00D2183C" w:rsidRDefault="003A6B7C" w:rsidP="000E2401">
            <w:pPr>
              <w:widowControl w:val="0"/>
              <w:suppressLineNumbers/>
              <w:suppressAutoHyphens/>
              <w:jc w:val="both"/>
              <w:rPr>
                <w:sz w:val="20"/>
                <w:szCs w:val="20"/>
              </w:rPr>
            </w:pPr>
            <w:r w:rsidRPr="00D2183C">
              <w:rPr>
                <w:sz w:val="20"/>
                <w:szCs w:val="20"/>
              </w:rPr>
              <w:t>El fiduciario</w:t>
            </w:r>
            <w:r w:rsidR="00481933" w:rsidRPr="00D2183C">
              <w:rPr>
                <w:sz w:val="20"/>
                <w:szCs w:val="20"/>
              </w:rPr>
              <w:t xml:space="preserve"> </w:t>
            </w:r>
          </w:p>
        </w:tc>
      </w:tr>
      <w:tr w:rsidR="00481933" w:rsidRPr="00D90AA5" w14:paraId="7617FF79" w14:textId="77777777" w:rsidTr="000E2401">
        <w:trPr>
          <w:cantSplit/>
          <w:trHeight w:val="377"/>
        </w:trPr>
        <w:tc>
          <w:tcPr>
            <w:tcW w:w="2502" w:type="dxa"/>
          </w:tcPr>
          <w:p w14:paraId="02C00A7D" w14:textId="53F31699" w:rsidR="00481933" w:rsidRPr="00D2183C" w:rsidRDefault="00504FC8" w:rsidP="000E2401">
            <w:pPr>
              <w:widowControl w:val="0"/>
              <w:suppressLineNumbers/>
              <w:suppressAutoHyphens/>
              <w:rPr>
                <w:b/>
                <w:sz w:val="20"/>
                <w:szCs w:val="20"/>
              </w:rPr>
            </w:pPr>
            <w:r w:rsidRPr="00D2183C">
              <w:rPr>
                <w:b/>
                <w:sz w:val="20"/>
                <w:szCs w:val="20"/>
              </w:rPr>
              <w:t xml:space="preserve">6. </w:t>
            </w:r>
            <w:r w:rsidR="00481933" w:rsidRPr="00D2183C">
              <w:rPr>
                <w:b/>
                <w:sz w:val="20"/>
                <w:szCs w:val="20"/>
              </w:rPr>
              <w:t>Fideicomisario</w:t>
            </w:r>
            <w:r w:rsidR="003A6B7C" w:rsidRPr="00D2183C">
              <w:rPr>
                <w:b/>
                <w:sz w:val="20"/>
                <w:szCs w:val="20"/>
              </w:rPr>
              <w:t>s</w:t>
            </w:r>
          </w:p>
          <w:p w14:paraId="1C5F044D" w14:textId="77777777" w:rsidR="00481933" w:rsidRPr="00D2183C" w:rsidDel="00D41A1C" w:rsidRDefault="00481933" w:rsidP="000E2401">
            <w:pPr>
              <w:widowControl w:val="0"/>
              <w:suppressLineNumbers/>
              <w:suppressAutoHyphens/>
              <w:rPr>
                <w:b/>
                <w:sz w:val="20"/>
                <w:szCs w:val="20"/>
              </w:rPr>
            </w:pPr>
          </w:p>
        </w:tc>
        <w:tc>
          <w:tcPr>
            <w:tcW w:w="7207" w:type="dxa"/>
          </w:tcPr>
          <w:p w14:paraId="0434BBDF" w14:textId="0359BA5D" w:rsidR="00481933" w:rsidRPr="00D2183C" w:rsidRDefault="003A6B7C" w:rsidP="000E2401">
            <w:pPr>
              <w:widowControl w:val="0"/>
              <w:suppressLineNumbers/>
              <w:suppressAutoHyphens/>
              <w:jc w:val="both"/>
              <w:rPr>
                <w:sz w:val="20"/>
                <w:szCs w:val="20"/>
              </w:rPr>
            </w:pPr>
            <w:r w:rsidRPr="00D2183C">
              <w:rPr>
                <w:sz w:val="20"/>
                <w:szCs w:val="20"/>
              </w:rPr>
              <w:t>Los Fiduciantes</w:t>
            </w:r>
          </w:p>
        </w:tc>
      </w:tr>
      <w:tr w:rsidR="00481933" w:rsidRPr="00D90AA5" w14:paraId="007A7100" w14:textId="77777777" w:rsidTr="000E2401">
        <w:trPr>
          <w:cantSplit/>
          <w:trHeight w:val="377"/>
        </w:trPr>
        <w:tc>
          <w:tcPr>
            <w:tcW w:w="2502" w:type="dxa"/>
          </w:tcPr>
          <w:p w14:paraId="11B0BE45" w14:textId="53D55CD2" w:rsidR="00481933" w:rsidRPr="00D2183C" w:rsidDel="00D41A1C" w:rsidRDefault="00504FC8" w:rsidP="00672C30">
            <w:pPr>
              <w:widowControl w:val="0"/>
              <w:suppressLineNumbers/>
              <w:suppressAutoHyphens/>
              <w:rPr>
                <w:b/>
                <w:sz w:val="20"/>
                <w:szCs w:val="20"/>
              </w:rPr>
            </w:pPr>
            <w:r w:rsidRPr="00D2183C">
              <w:rPr>
                <w:b/>
                <w:sz w:val="20"/>
                <w:szCs w:val="20"/>
              </w:rPr>
              <w:t xml:space="preserve">7. </w:t>
            </w:r>
            <w:r w:rsidR="00481933" w:rsidRPr="00D2183C">
              <w:rPr>
                <w:b/>
                <w:sz w:val="20"/>
                <w:szCs w:val="20"/>
              </w:rPr>
              <w:t>Organizador</w:t>
            </w:r>
            <w:r w:rsidR="00EA703E" w:rsidRPr="00D2183C">
              <w:rPr>
                <w:b/>
                <w:sz w:val="20"/>
                <w:szCs w:val="20"/>
              </w:rPr>
              <w:t xml:space="preserve"> </w:t>
            </w:r>
            <w:r w:rsidR="00672C30" w:rsidRPr="00D2183C">
              <w:rPr>
                <w:b/>
                <w:sz w:val="20"/>
                <w:szCs w:val="20"/>
              </w:rPr>
              <w:t>y</w:t>
            </w:r>
            <w:r w:rsidR="00EA703E" w:rsidRPr="00D2183C">
              <w:rPr>
                <w:b/>
                <w:sz w:val="20"/>
                <w:szCs w:val="20"/>
              </w:rPr>
              <w:t xml:space="preserve"> Gerente del Proyecto</w:t>
            </w:r>
          </w:p>
        </w:tc>
        <w:tc>
          <w:tcPr>
            <w:tcW w:w="7207" w:type="dxa"/>
          </w:tcPr>
          <w:p w14:paraId="4480138A" w14:textId="6D8C7FDE" w:rsidR="00481933" w:rsidRPr="00D2183C" w:rsidRDefault="00D866DC" w:rsidP="008F6B2D">
            <w:pPr>
              <w:widowControl w:val="0"/>
              <w:suppressLineNumbers/>
              <w:suppressAutoHyphens/>
              <w:jc w:val="both"/>
              <w:rPr>
                <w:sz w:val="20"/>
                <w:szCs w:val="20"/>
              </w:rPr>
            </w:pPr>
            <w:r w:rsidRPr="00D2183C">
              <w:rPr>
                <w:sz w:val="20"/>
                <w:szCs w:val="20"/>
              </w:rPr>
              <w:t>Alejandra Caballero &amp; Asoc</w:t>
            </w:r>
            <w:r w:rsidR="00EA703E" w:rsidRPr="00D2183C">
              <w:rPr>
                <w:sz w:val="20"/>
                <w:szCs w:val="20"/>
              </w:rPr>
              <w:t>,</w:t>
            </w:r>
            <w:r w:rsidRPr="00D2183C">
              <w:rPr>
                <w:sz w:val="20"/>
                <w:szCs w:val="20"/>
              </w:rPr>
              <w:t xml:space="preserve"> Carlos Tejerina</w:t>
            </w:r>
            <w:r w:rsidR="00EA703E" w:rsidRPr="00D2183C">
              <w:rPr>
                <w:sz w:val="20"/>
                <w:szCs w:val="20"/>
              </w:rPr>
              <w:t xml:space="preserve"> &amp; Asoc. (en asociación), con la participación </w:t>
            </w:r>
            <w:r w:rsidR="008F6B2D" w:rsidRPr="00D2183C">
              <w:rPr>
                <w:sz w:val="20"/>
                <w:szCs w:val="20"/>
              </w:rPr>
              <w:t>técnica de</w:t>
            </w:r>
            <w:r w:rsidR="00EA703E" w:rsidRPr="00D2183C">
              <w:rPr>
                <w:sz w:val="20"/>
                <w:szCs w:val="20"/>
              </w:rPr>
              <w:t xml:space="preserve"> Mario Giordano</w:t>
            </w:r>
            <w:r w:rsidR="008F6B2D" w:rsidRPr="00D2183C">
              <w:rPr>
                <w:sz w:val="20"/>
                <w:szCs w:val="20"/>
              </w:rPr>
              <w:t xml:space="preserve"> en representación de </w:t>
            </w:r>
            <w:proofErr w:type="spellStart"/>
            <w:r w:rsidR="008F6B2D" w:rsidRPr="00D2183C">
              <w:rPr>
                <w:sz w:val="20"/>
                <w:szCs w:val="20"/>
              </w:rPr>
              <w:t>WofA</w:t>
            </w:r>
            <w:proofErr w:type="spellEnd"/>
            <w:r w:rsidR="00EA703E" w:rsidRPr="00D2183C">
              <w:rPr>
                <w:sz w:val="20"/>
                <w:szCs w:val="20"/>
              </w:rPr>
              <w:t xml:space="preserve">    </w:t>
            </w:r>
          </w:p>
        </w:tc>
      </w:tr>
      <w:tr w:rsidR="00481933" w:rsidRPr="00D90AA5" w14:paraId="7B8B6F79" w14:textId="77777777" w:rsidTr="000E2401">
        <w:trPr>
          <w:cantSplit/>
          <w:trHeight w:val="415"/>
        </w:trPr>
        <w:tc>
          <w:tcPr>
            <w:tcW w:w="2502" w:type="dxa"/>
          </w:tcPr>
          <w:p w14:paraId="744DB4A2" w14:textId="125EAACC" w:rsidR="00481933" w:rsidRPr="00D2183C" w:rsidRDefault="00504FC8" w:rsidP="000E2401">
            <w:pPr>
              <w:widowControl w:val="0"/>
              <w:suppressLineNumbers/>
              <w:suppressAutoHyphens/>
              <w:rPr>
                <w:b/>
                <w:sz w:val="20"/>
                <w:szCs w:val="20"/>
              </w:rPr>
            </w:pPr>
            <w:r w:rsidRPr="00D2183C">
              <w:rPr>
                <w:b/>
                <w:sz w:val="20"/>
                <w:szCs w:val="20"/>
              </w:rPr>
              <w:t xml:space="preserve">8. </w:t>
            </w:r>
            <w:r w:rsidR="00481933" w:rsidRPr="00D2183C">
              <w:rPr>
                <w:b/>
                <w:sz w:val="20"/>
                <w:szCs w:val="20"/>
              </w:rPr>
              <w:t>Administrador</w:t>
            </w:r>
            <w:r w:rsidR="00D42676" w:rsidRPr="00D2183C">
              <w:rPr>
                <w:b/>
                <w:sz w:val="20"/>
                <w:szCs w:val="20"/>
              </w:rPr>
              <w:t xml:space="preserve"> y Agente de Cobro</w:t>
            </w:r>
          </w:p>
        </w:tc>
        <w:tc>
          <w:tcPr>
            <w:tcW w:w="7207" w:type="dxa"/>
          </w:tcPr>
          <w:p w14:paraId="6417AE6D" w14:textId="124D122B" w:rsidR="00481933" w:rsidRPr="00D2183C" w:rsidRDefault="003A6B7C" w:rsidP="000E2401">
            <w:pPr>
              <w:widowControl w:val="0"/>
              <w:suppressLineNumbers/>
              <w:suppressAutoHyphens/>
              <w:jc w:val="both"/>
              <w:rPr>
                <w:sz w:val="20"/>
                <w:szCs w:val="20"/>
              </w:rPr>
            </w:pPr>
            <w:r w:rsidRPr="00D2183C">
              <w:rPr>
                <w:sz w:val="20"/>
                <w:szCs w:val="20"/>
              </w:rPr>
              <w:t>Cada Fiduciante, respecto de los Créditos fideicomitidos por él.</w:t>
            </w:r>
          </w:p>
        </w:tc>
      </w:tr>
      <w:tr w:rsidR="00481933" w:rsidRPr="00D90AA5" w14:paraId="7122EA94" w14:textId="77777777" w:rsidTr="000E2401">
        <w:trPr>
          <w:cantSplit/>
          <w:trHeight w:val="326"/>
        </w:trPr>
        <w:tc>
          <w:tcPr>
            <w:tcW w:w="2502" w:type="dxa"/>
          </w:tcPr>
          <w:p w14:paraId="2F407A08" w14:textId="54CB0AA8" w:rsidR="00481933" w:rsidRPr="00D2183C" w:rsidRDefault="00504FC8" w:rsidP="000E2401">
            <w:pPr>
              <w:widowControl w:val="0"/>
              <w:suppressLineNumbers/>
              <w:suppressAutoHyphens/>
              <w:rPr>
                <w:b/>
                <w:sz w:val="20"/>
                <w:szCs w:val="20"/>
              </w:rPr>
            </w:pPr>
            <w:r w:rsidRPr="00D2183C">
              <w:rPr>
                <w:b/>
                <w:sz w:val="20"/>
                <w:szCs w:val="20"/>
              </w:rPr>
              <w:t xml:space="preserve">9. </w:t>
            </w:r>
            <w:r w:rsidR="00481933" w:rsidRPr="00D2183C">
              <w:rPr>
                <w:b/>
                <w:sz w:val="20"/>
                <w:szCs w:val="20"/>
              </w:rPr>
              <w:t>Colocadores</w:t>
            </w:r>
          </w:p>
        </w:tc>
        <w:tc>
          <w:tcPr>
            <w:tcW w:w="7207" w:type="dxa"/>
          </w:tcPr>
          <w:p w14:paraId="3C67B1F5" w14:textId="77777777" w:rsidR="00481933" w:rsidRPr="00D2183C" w:rsidRDefault="00481933" w:rsidP="003A6B7C">
            <w:pPr>
              <w:jc w:val="both"/>
              <w:rPr>
                <w:sz w:val="20"/>
                <w:szCs w:val="20"/>
                <w:lang w:val="es-ES"/>
              </w:rPr>
            </w:pPr>
          </w:p>
        </w:tc>
      </w:tr>
      <w:tr w:rsidR="00481933" w:rsidRPr="00D90AA5" w14:paraId="72E19349" w14:textId="77777777" w:rsidTr="000E2401">
        <w:trPr>
          <w:cantSplit/>
          <w:trHeight w:val="620"/>
        </w:trPr>
        <w:tc>
          <w:tcPr>
            <w:tcW w:w="2502" w:type="dxa"/>
          </w:tcPr>
          <w:p w14:paraId="638E2327" w14:textId="0C64B1DD" w:rsidR="00481933" w:rsidRPr="00D2183C" w:rsidRDefault="00504FC8" w:rsidP="000E2401">
            <w:pPr>
              <w:widowControl w:val="0"/>
              <w:suppressLineNumbers/>
              <w:suppressAutoHyphens/>
              <w:rPr>
                <w:b/>
                <w:sz w:val="20"/>
                <w:szCs w:val="20"/>
              </w:rPr>
            </w:pPr>
            <w:r w:rsidRPr="00D2183C">
              <w:rPr>
                <w:b/>
                <w:sz w:val="20"/>
                <w:szCs w:val="20"/>
              </w:rPr>
              <w:t xml:space="preserve">10. </w:t>
            </w:r>
            <w:r w:rsidR="00481933" w:rsidRPr="00D2183C">
              <w:rPr>
                <w:b/>
                <w:sz w:val="20"/>
                <w:szCs w:val="20"/>
              </w:rPr>
              <w:t>Agente de Control y Revisión</w:t>
            </w:r>
          </w:p>
        </w:tc>
        <w:tc>
          <w:tcPr>
            <w:tcW w:w="7207" w:type="dxa"/>
          </w:tcPr>
          <w:p w14:paraId="5EE784E1" w14:textId="7C83B5EA" w:rsidR="00BB0389" w:rsidRPr="00D2183C" w:rsidRDefault="003A6B7C" w:rsidP="003A6B7C">
            <w:pPr>
              <w:jc w:val="both"/>
              <w:rPr>
                <w:sz w:val="20"/>
                <w:szCs w:val="20"/>
              </w:rPr>
            </w:pPr>
            <w:r w:rsidRPr="00D2183C">
              <w:rPr>
                <w:sz w:val="20"/>
                <w:szCs w:val="20"/>
              </w:rPr>
              <w:t>Firma de auditoría a designar</w:t>
            </w:r>
          </w:p>
        </w:tc>
      </w:tr>
      <w:tr w:rsidR="00481933" w:rsidRPr="00D90AA5" w14:paraId="2EF146F2" w14:textId="77777777" w:rsidTr="000E2401">
        <w:trPr>
          <w:cantSplit/>
        </w:trPr>
        <w:tc>
          <w:tcPr>
            <w:tcW w:w="2502" w:type="dxa"/>
          </w:tcPr>
          <w:p w14:paraId="52DC58C5" w14:textId="0E08352B" w:rsidR="00481933" w:rsidRPr="00D90AA5" w:rsidRDefault="00504FC8" w:rsidP="000E2401">
            <w:pPr>
              <w:spacing w:line="240" w:lineRule="atLeast"/>
              <w:rPr>
                <w:b/>
                <w:sz w:val="20"/>
                <w:szCs w:val="20"/>
              </w:rPr>
            </w:pPr>
            <w:r>
              <w:rPr>
                <w:b/>
                <w:sz w:val="20"/>
                <w:szCs w:val="20"/>
              </w:rPr>
              <w:t xml:space="preserve">11. </w:t>
            </w:r>
            <w:r w:rsidR="00481933" w:rsidRPr="00D90AA5">
              <w:rPr>
                <w:b/>
                <w:sz w:val="20"/>
                <w:szCs w:val="20"/>
              </w:rPr>
              <w:t xml:space="preserve">Asesores legales </w:t>
            </w:r>
          </w:p>
          <w:p w14:paraId="6A466424" w14:textId="77777777" w:rsidR="00481933" w:rsidRPr="00D90AA5" w:rsidRDefault="00481933" w:rsidP="000E2401">
            <w:pPr>
              <w:spacing w:line="240" w:lineRule="atLeast"/>
              <w:jc w:val="center"/>
              <w:rPr>
                <w:b/>
                <w:iCs/>
                <w:snapToGrid w:val="0"/>
                <w:sz w:val="20"/>
                <w:szCs w:val="20"/>
                <w:lang w:val="es-MX"/>
              </w:rPr>
            </w:pPr>
          </w:p>
        </w:tc>
        <w:tc>
          <w:tcPr>
            <w:tcW w:w="7207" w:type="dxa"/>
          </w:tcPr>
          <w:p w14:paraId="297CAC78" w14:textId="77777777" w:rsidR="00481933" w:rsidRPr="00D90AA5" w:rsidRDefault="00481933" w:rsidP="000E2401">
            <w:pPr>
              <w:rPr>
                <w:snapToGrid w:val="0"/>
                <w:sz w:val="20"/>
                <w:szCs w:val="20"/>
                <w:lang w:val="es-MX"/>
              </w:rPr>
            </w:pPr>
            <w:r w:rsidRPr="00D90AA5">
              <w:rPr>
                <w:sz w:val="20"/>
                <w:szCs w:val="20"/>
              </w:rPr>
              <w:t>Nicholson y Cano Abogados SRL</w:t>
            </w:r>
          </w:p>
        </w:tc>
      </w:tr>
      <w:tr w:rsidR="00481933" w:rsidRPr="00D90AA5" w14:paraId="36E1CE95" w14:textId="77777777" w:rsidTr="000E2401">
        <w:trPr>
          <w:cantSplit/>
        </w:trPr>
        <w:tc>
          <w:tcPr>
            <w:tcW w:w="2502" w:type="dxa"/>
          </w:tcPr>
          <w:p w14:paraId="27B7B2DA" w14:textId="6BEC69D7" w:rsidR="00481933" w:rsidRPr="00D90AA5" w:rsidRDefault="00504FC8" w:rsidP="000E2401">
            <w:pPr>
              <w:widowControl w:val="0"/>
              <w:suppressLineNumbers/>
              <w:suppressAutoHyphens/>
              <w:rPr>
                <w:b/>
                <w:sz w:val="20"/>
                <w:szCs w:val="20"/>
              </w:rPr>
            </w:pPr>
            <w:r>
              <w:rPr>
                <w:b/>
                <w:sz w:val="20"/>
              </w:rPr>
              <w:t xml:space="preserve">12. </w:t>
            </w:r>
            <w:r w:rsidR="00481933" w:rsidRPr="00D90AA5">
              <w:rPr>
                <w:b/>
                <w:sz w:val="20"/>
              </w:rPr>
              <w:t>Relaciones entre las partes</w:t>
            </w:r>
          </w:p>
        </w:tc>
        <w:tc>
          <w:tcPr>
            <w:tcW w:w="7207" w:type="dxa"/>
          </w:tcPr>
          <w:p w14:paraId="4D5511D0" w14:textId="33AA9F3C" w:rsidR="00481933" w:rsidRPr="00D90AA5" w:rsidRDefault="00481933" w:rsidP="000E2401">
            <w:pPr>
              <w:pStyle w:val="Textoindependiente"/>
              <w:rPr>
                <w:rFonts w:ascii="Times New Roman" w:hAnsi="Times New Roman"/>
                <w:sz w:val="20"/>
              </w:rPr>
            </w:pPr>
            <w:r w:rsidRPr="00D90AA5">
              <w:rPr>
                <w:rFonts w:ascii="Times New Roman" w:hAnsi="Times New Roman"/>
                <w:sz w:val="20"/>
              </w:rPr>
              <w:t>La única relación jurídica y económica q</w:t>
            </w:r>
            <w:r w:rsidR="003A6B7C">
              <w:rPr>
                <w:rFonts w:ascii="Times New Roman" w:hAnsi="Times New Roman"/>
                <w:sz w:val="20"/>
              </w:rPr>
              <w:t>ue el Fiduciario mantiene con los</w:t>
            </w:r>
            <w:r w:rsidRPr="00D90AA5">
              <w:rPr>
                <w:rFonts w:ascii="Times New Roman" w:hAnsi="Times New Roman"/>
                <w:sz w:val="20"/>
              </w:rPr>
              <w:t xml:space="preserve"> Fiduciante</w:t>
            </w:r>
            <w:r w:rsidR="003A6B7C">
              <w:rPr>
                <w:rFonts w:ascii="Times New Roman" w:hAnsi="Times New Roman"/>
                <w:sz w:val="20"/>
              </w:rPr>
              <w:t>s</w:t>
            </w:r>
            <w:r w:rsidRPr="00D90AA5">
              <w:rPr>
                <w:rFonts w:ascii="Times New Roman" w:hAnsi="Times New Roman"/>
                <w:sz w:val="20"/>
              </w:rPr>
              <w:t xml:space="preserve"> es la entablada con relación </w:t>
            </w:r>
            <w:r w:rsidR="004B49BE" w:rsidRPr="00D90AA5">
              <w:rPr>
                <w:rFonts w:ascii="Times New Roman" w:hAnsi="Times New Roman"/>
                <w:sz w:val="20"/>
              </w:rPr>
              <w:t>al Programa</w:t>
            </w:r>
            <w:r w:rsidRPr="00D90AA5">
              <w:rPr>
                <w:rFonts w:ascii="Times New Roman" w:hAnsi="Times New Roman"/>
                <w:sz w:val="20"/>
              </w:rPr>
              <w:t xml:space="preserve"> y al presente fideicomiso.</w:t>
            </w:r>
          </w:p>
          <w:p w14:paraId="53993061" w14:textId="77777777" w:rsidR="00481933" w:rsidRPr="00D90AA5" w:rsidRDefault="00481933" w:rsidP="000E2401">
            <w:pPr>
              <w:widowControl w:val="0"/>
              <w:suppressLineNumbers/>
              <w:suppressAutoHyphens/>
              <w:jc w:val="both"/>
              <w:rPr>
                <w:sz w:val="20"/>
                <w:szCs w:val="20"/>
              </w:rPr>
            </w:pPr>
          </w:p>
        </w:tc>
      </w:tr>
      <w:tr w:rsidR="00481933" w:rsidRPr="00D90AA5" w14:paraId="170F6036" w14:textId="77777777" w:rsidTr="000E2401">
        <w:trPr>
          <w:cantSplit/>
        </w:trPr>
        <w:tc>
          <w:tcPr>
            <w:tcW w:w="2502" w:type="dxa"/>
          </w:tcPr>
          <w:p w14:paraId="0FBEFFB3" w14:textId="67A55849" w:rsidR="00481933" w:rsidRPr="00C67013" w:rsidRDefault="00504FC8" w:rsidP="000E2401">
            <w:pPr>
              <w:widowControl w:val="0"/>
              <w:suppressLineNumbers/>
              <w:suppressAutoHyphens/>
              <w:rPr>
                <w:b/>
                <w:sz w:val="20"/>
                <w:szCs w:val="20"/>
              </w:rPr>
            </w:pPr>
            <w:r>
              <w:rPr>
                <w:b/>
                <w:sz w:val="20"/>
                <w:szCs w:val="20"/>
              </w:rPr>
              <w:t xml:space="preserve">13. </w:t>
            </w:r>
            <w:r w:rsidR="00481933" w:rsidRPr="00D90AA5">
              <w:rPr>
                <w:b/>
                <w:sz w:val="20"/>
                <w:szCs w:val="20"/>
              </w:rPr>
              <w:t>Objeto del Fideicomiso</w:t>
            </w:r>
          </w:p>
        </w:tc>
        <w:tc>
          <w:tcPr>
            <w:tcW w:w="7207" w:type="dxa"/>
          </w:tcPr>
          <w:p w14:paraId="2D643A23" w14:textId="7E1F03EC" w:rsidR="00481933" w:rsidRPr="00D90AA5" w:rsidRDefault="00481933" w:rsidP="002936CE">
            <w:pPr>
              <w:pStyle w:val="notaalpie"/>
              <w:widowControl w:val="0"/>
              <w:suppressLineNumbers/>
              <w:rPr>
                <w:rFonts w:ascii="Times New Roman" w:hAnsi="Times New Roman"/>
              </w:rPr>
            </w:pPr>
            <w:r w:rsidRPr="00C67013">
              <w:rPr>
                <w:rFonts w:ascii="Times New Roman" w:hAnsi="Times New Roman"/>
              </w:rPr>
              <w:t xml:space="preserve">Titulización de Créditos originados por </w:t>
            </w:r>
            <w:r w:rsidR="003A6B7C">
              <w:rPr>
                <w:rFonts w:ascii="Times New Roman" w:hAnsi="Times New Roman"/>
              </w:rPr>
              <w:t>los</w:t>
            </w:r>
            <w:r w:rsidRPr="00C67013">
              <w:rPr>
                <w:rFonts w:ascii="Times New Roman" w:hAnsi="Times New Roman"/>
              </w:rPr>
              <w:t xml:space="preserve"> Fiduciante</w:t>
            </w:r>
            <w:r w:rsidR="003A6B7C">
              <w:rPr>
                <w:rFonts w:ascii="Times New Roman" w:hAnsi="Times New Roman"/>
              </w:rPr>
              <w:t>s</w:t>
            </w:r>
            <w:r w:rsidRPr="00C67013">
              <w:rPr>
                <w:rFonts w:ascii="Times New Roman" w:hAnsi="Times New Roman"/>
              </w:rPr>
              <w:t xml:space="preserve"> en determinadas operaciones de exportación, para destinar el producido de la colocación de los Valores de Deuda Fiduciaria a emitir</w:t>
            </w:r>
            <w:r w:rsidR="00D866DC">
              <w:rPr>
                <w:rFonts w:ascii="Times New Roman" w:hAnsi="Times New Roman"/>
              </w:rPr>
              <w:t>,</w:t>
            </w:r>
            <w:r w:rsidRPr="00C67013">
              <w:rPr>
                <w:rFonts w:ascii="Times New Roman" w:hAnsi="Times New Roman"/>
              </w:rPr>
              <w:t xml:space="preserve"> a</w:t>
            </w:r>
            <w:r w:rsidR="00977797">
              <w:rPr>
                <w:rFonts w:ascii="Times New Roman" w:hAnsi="Times New Roman"/>
              </w:rPr>
              <w:t xml:space="preserve">l financiamiento de </w:t>
            </w:r>
            <w:r w:rsidR="00977797" w:rsidRPr="00D2183C">
              <w:rPr>
                <w:rFonts w:ascii="Times New Roman" w:hAnsi="Times New Roman"/>
              </w:rPr>
              <w:t xml:space="preserve">la </w:t>
            </w:r>
            <w:r w:rsidR="00D866DC" w:rsidRPr="00D2183C">
              <w:rPr>
                <w:rFonts w:ascii="Times New Roman" w:hAnsi="Times New Roman"/>
              </w:rPr>
              <w:t>promoción</w:t>
            </w:r>
            <w:r w:rsidR="00977797" w:rsidRPr="00D2183C">
              <w:rPr>
                <w:rFonts w:ascii="Times New Roman" w:hAnsi="Times New Roman"/>
              </w:rPr>
              <w:t xml:space="preserve"> y comercialización</w:t>
            </w:r>
            <w:r w:rsidR="00977797">
              <w:rPr>
                <w:rFonts w:ascii="Times New Roman" w:hAnsi="Times New Roman"/>
              </w:rPr>
              <w:t xml:space="preserve"> internacional de productos vitivinícolas, lo que determina que el fideicomiso califique como un “Fideicomiso para </w:t>
            </w:r>
            <w:r w:rsidR="00977797" w:rsidRPr="00977797">
              <w:rPr>
                <w:rFonts w:ascii="Times New Roman" w:hAnsi="Times New Roman"/>
                <w:lang w:val="es-AR"/>
              </w:rPr>
              <w:t>el Fomento del Desarrollo Productivo y de las Economías Regionales</w:t>
            </w:r>
            <w:r w:rsidR="00977797">
              <w:rPr>
                <w:rFonts w:ascii="Times New Roman" w:hAnsi="Times New Roman"/>
                <w:lang w:val="es-AR"/>
              </w:rPr>
              <w:t>” (Sección I, del Cap. VIII del Tít. V de las</w:t>
            </w:r>
            <w:r w:rsidRPr="00D90AA5">
              <w:rPr>
                <w:rFonts w:ascii="Times New Roman" w:hAnsi="Times New Roman"/>
                <w:lang w:val="es-AR"/>
              </w:rPr>
              <w:t xml:space="preserve"> Normas de la C</w:t>
            </w:r>
            <w:r w:rsidR="00977797">
              <w:rPr>
                <w:rFonts w:ascii="Times New Roman" w:hAnsi="Times New Roman"/>
                <w:lang w:val="es-AR"/>
              </w:rPr>
              <w:t>omisión Nacional de Valores (“C</w:t>
            </w:r>
            <w:r w:rsidRPr="00D90AA5">
              <w:rPr>
                <w:rFonts w:ascii="Times New Roman" w:hAnsi="Times New Roman"/>
                <w:lang w:val="es-AR"/>
              </w:rPr>
              <w:t>NV</w:t>
            </w:r>
            <w:r w:rsidR="00977797">
              <w:rPr>
                <w:rFonts w:ascii="Times New Roman" w:hAnsi="Times New Roman"/>
                <w:lang w:val="es-AR"/>
              </w:rPr>
              <w:t>”</w:t>
            </w:r>
            <w:r w:rsidR="00AB3AB3" w:rsidRPr="00D90AA5">
              <w:rPr>
                <w:rFonts w:ascii="Times New Roman" w:hAnsi="Times New Roman"/>
                <w:lang w:val="es-AR"/>
              </w:rPr>
              <w:t>)</w:t>
            </w:r>
            <w:r w:rsidRPr="00D90AA5">
              <w:rPr>
                <w:rFonts w:ascii="Times New Roman" w:hAnsi="Times New Roman"/>
              </w:rPr>
              <w:t>.</w:t>
            </w:r>
          </w:p>
          <w:p w14:paraId="096C33E4" w14:textId="77777777" w:rsidR="00481933" w:rsidRPr="00D90AA5" w:rsidRDefault="00481933" w:rsidP="00977797">
            <w:pPr>
              <w:pStyle w:val="notaalpie"/>
              <w:widowControl w:val="0"/>
              <w:suppressLineNumbers/>
              <w:rPr>
                <w:rFonts w:ascii="Times New Roman" w:hAnsi="Times New Roman"/>
              </w:rPr>
            </w:pPr>
          </w:p>
        </w:tc>
      </w:tr>
      <w:tr w:rsidR="00481933" w:rsidRPr="00D90AA5" w14:paraId="4AFB3987" w14:textId="77777777" w:rsidTr="000E2401">
        <w:trPr>
          <w:cantSplit/>
        </w:trPr>
        <w:tc>
          <w:tcPr>
            <w:tcW w:w="2502" w:type="dxa"/>
          </w:tcPr>
          <w:p w14:paraId="43EABBCD" w14:textId="4D38DA09" w:rsidR="00481933" w:rsidRPr="00C67013" w:rsidRDefault="00504FC8" w:rsidP="000E2401">
            <w:pPr>
              <w:widowControl w:val="0"/>
              <w:suppressLineNumbers/>
              <w:suppressAutoHyphens/>
              <w:rPr>
                <w:sz w:val="20"/>
                <w:szCs w:val="20"/>
              </w:rPr>
            </w:pPr>
            <w:r>
              <w:rPr>
                <w:b/>
                <w:sz w:val="20"/>
                <w:szCs w:val="20"/>
              </w:rPr>
              <w:lastRenderedPageBreak/>
              <w:t xml:space="preserve">14. </w:t>
            </w:r>
            <w:r w:rsidR="00481933" w:rsidRPr="00D90AA5">
              <w:rPr>
                <w:b/>
                <w:sz w:val="20"/>
                <w:szCs w:val="20"/>
              </w:rPr>
              <w:t>Bienes Fideicomit</w:t>
            </w:r>
            <w:r w:rsidR="00481933" w:rsidRPr="00C67013">
              <w:rPr>
                <w:b/>
                <w:sz w:val="20"/>
                <w:szCs w:val="20"/>
              </w:rPr>
              <w:t>idos</w:t>
            </w:r>
          </w:p>
        </w:tc>
        <w:tc>
          <w:tcPr>
            <w:tcW w:w="7207" w:type="dxa"/>
          </w:tcPr>
          <w:p w14:paraId="1F338C8E" w14:textId="77777777" w:rsidR="00AB3AB3" w:rsidRPr="00D90AA5" w:rsidRDefault="00481933" w:rsidP="000E2401">
            <w:pPr>
              <w:pStyle w:val="Prrafodelista"/>
              <w:suppressAutoHyphens/>
              <w:ind w:left="0" w:right="50"/>
              <w:jc w:val="both"/>
              <w:rPr>
                <w:color w:val="0D0D0D" w:themeColor="text1" w:themeTint="F2"/>
                <w:sz w:val="20"/>
              </w:rPr>
            </w:pPr>
            <w:r w:rsidRPr="00D90AA5">
              <w:rPr>
                <w:color w:val="0D0D0D" w:themeColor="text1" w:themeTint="F2"/>
                <w:sz w:val="20"/>
              </w:rPr>
              <w:t xml:space="preserve">(a) </w:t>
            </w:r>
            <w:r w:rsidR="00AB3AB3" w:rsidRPr="00D90AA5">
              <w:rPr>
                <w:color w:val="0D0D0D" w:themeColor="text1" w:themeTint="F2"/>
                <w:sz w:val="20"/>
              </w:rPr>
              <w:t>L</w:t>
            </w:r>
            <w:r w:rsidR="0056208C" w:rsidRPr="00D90AA5">
              <w:rPr>
                <w:color w:val="0D0D0D" w:themeColor="text1" w:themeTint="F2"/>
                <w:sz w:val="20"/>
              </w:rPr>
              <w:t>os créditos instrumentado</w:t>
            </w:r>
            <w:r w:rsidR="00AB3AB3" w:rsidRPr="00D90AA5">
              <w:rPr>
                <w:color w:val="0D0D0D" w:themeColor="text1" w:themeTint="F2"/>
                <w:sz w:val="20"/>
              </w:rPr>
              <w:t>s</w:t>
            </w:r>
            <w:r w:rsidR="0056208C" w:rsidRPr="00D90AA5">
              <w:rPr>
                <w:color w:val="0D0D0D" w:themeColor="text1" w:themeTint="F2"/>
                <w:sz w:val="20"/>
              </w:rPr>
              <w:t xml:space="preserve"> en</w:t>
            </w:r>
            <w:r w:rsidR="00AB3AB3" w:rsidRPr="00D90AA5">
              <w:rPr>
                <w:color w:val="0D0D0D" w:themeColor="text1" w:themeTint="F2"/>
                <w:sz w:val="20"/>
              </w:rPr>
              <w:t xml:space="preserve"> Facturas de Exportación que cumplan los Requisitos de las Facturas de Exportación cedidas o a ceder fiduciariamente por el Fiduciante</w:t>
            </w:r>
            <w:r w:rsidR="00FE6B55" w:rsidRPr="00D90AA5">
              <w:rPr>
                <w:color w:val="0D0D0D" w:themeColor="text1" w:themeTint="F2"/>
                <w:sz w:val="20"/>
              </w:rPr>
              <w:t xml:space="preserve"> (las “Facturas Fideicomitidas”)</w:t>
            </w:r>
            <w:r w:rsidR="00AB3AB3" w:rsidRPr="00D90AA5">
              <w:rPr>
                <w:color w:val="0D0D0D" w:themeColor="text1" w:themeTint="F2"/>
                <w:sz w:val="20"/>
              </w:rPr>
              <w:t>. Además, ser</w:t>
            </w:r>
            <w:r w:rsidR="007A69DF" w:rsidRPr="00D90AA5">
              <w:rPr>
                <w:color w:val="0D0D0D" w:themeColor="text1" w:themeTint="F2"/>
                <w:sz w:val="20"/>
              </w:rPr>
              <w:t>á</w:t>
            </w:r>
            <w:r w:rsidR="00AB3AB3" w:rsidRPr="00D90AA5">
              <w:rPr>
                <w:color w:val="0D0D0D" w:themeColor="text1" w:themeTint="F2"/>
                <w:sz w:val="20"/>
              </w:rPr>
              <w:t>n Bienes Fideicomi</w:t>
            </w:r>
            <w:r w:rsidR="00551D02" w:rsidRPr="00D90AA5">
              <w:rPr>
                <w:color w:val="0D0D0D" w:themeColor="text1" w:themeTint="F2"/>
                <w:sz w:val="20"/>
              </w:rPr>
              <w:t>ti</w:t>
            </w:r>
            <w:r w:rsidR="00AB3AB3" w:rsidRPr="00D90AA5">
              <w:rPr>
                <w:color w:val="0D0D0D" w:themeColor="text1" w:themeTint="F2"/>
                <w:sz w:val="20"/>
              </w:rPr>
              <w:t>dos:</w:t>
            </w:r>
          </w:p>
          <w:p w14:paraId="17A3D857" w14:textId="77777777" w:rsidR="00481933" w:rsidRPr="00D90AA5" w:rsidRDefault="00AB3AB3" w:rsidP="000E2401">
            <w:pPr>
              <w:pStyle w:val="Prrafodelista"/>
              <w:suppressAutoHyphens/>
              <w:ind w:left="0" w:right="50"/>
              <w:jc w:val="both"/>
              <w:rPr>
                <w:color w:val="0D0D0D" w:themeColor="text1" w:themeTint="F2"/>
                <w:sz w:val="20"/>
              </w:rPr>
            </w:pPr>
            <w:r w:rsidRPr="00D90AA5">
              <w:rPr>
                <w:color w:val="0D0D0D" w:themeColor="text1" w:themeTint="F2"/>
                <w:sz w:val="20"/>
              </w:rPr>
              <w:t xml:space="preserve">(b) </w:t>
            </w:r>
            <w:r w:rsidR="00481933" w:rsidRPr="00D90AA5">
              <w:rPr>
                <w:color w:val="0D0D0D" w:themeColor="text1" w:themeTint="F2"/>
                <w:sz w:val="20"/>
              </w:rPr>
              <w:t xml:space="preserve">Los Créditos originados en liquidaciones de divisas provenientes del cobro de </w:t>
            </w:r>
            <w:r w:rsidRPr="00D90AA5">
              <w:rPr>
                <w:color w:val="0D0D0D" w:themeColor="text1" w:themeTint="F2"/>
                <w:sz w:val="20"/>
              </w:rPr>
              <w:t>l</w:t>
            </w:r>
            <w:r w:rsidR="007A69DF" w:rsidRPr="00D90AA5">
              <w:rPr>
                <w:color w:val="0D0D0D" w:themeColor="text1" w:themeTint="F2"/>
                <w:sz w:val="20"/>
              </w:rPr>
              <w:t>a</w:t>
            </w:r>
            <w:r w:rsidR="00481933" w:rsidRPr="00D90AA5">
              <w:rPr>
                <w:color w:val="0D0D0D" w:themeColor="text1" w:themeTint="F2"/>
                <w:sz w:val="20"/>
              </w:rPr>
              <w:t xml:space="preserve">s </w:t>
            </w:r>
            <w:r w:rsidR="004B49BE" w:rsidRPr="00D90AA5">
              <w:rPr>
                <w:color w:val="0D0D0D" w:themeColor="text1" w:themeTint="F2"/>
                <w:sz w:val="20"/>
              </w:rPr>
              <w:t>Facturas Fideicomitidas</w:t>
            </w:r>
            <w:r w:rsidR="00481933" w:rsidRPr="00D90AA5">
              <w:rPr>
                <w:color w:val="0D0D0D" w:themeColor="text1" w:themeTint="F2"/>
                <w:sz w:val="20"/>
              </w:rPr>
              <w:t xml:space="preserve"> (los “Créditos</w:t>
            </w:r>
            <w:r w:rsidRPr="00D90AA5">
              <w:rPr>
                <w:color w:val="0D0D0D" w:themeColor="text1" w:themeTint="F2"/>
                <w:sz w:val="20"/>
              </w:rPr>
              <w:t xml:space="preserve"> por Liquidación de Divisas</w:t>
            </w:r>
            <w:r w:rsidR="00481933" w:rsidRPr="00D90AA5">
              <w:rPr>
                <w:color w:val="0D0D0D" w:themeColor="text1" w:themeTint="F2"/>
                <w:sz w:val="20"/>
              </w:rPr>
              <w:t>”)</w:t>
            </w:r>
            <w:r w:rsidRPr="00D90AA5">
              <w:rPr>
                <w:color w:val="0D0D0D" w:themeColor="text1" w:themeTint="F2"/>
                <w:sz w:val="20"/>
              </w:rPr>
              <w:t>.</w:t>
            </w:r>
          </w:p>
          <w:p w14:paraId="03AF304A" w14:textId="44010B97" w:rsidR="0056208C" w:rsidRPr="00D90AA5" w:rsidRDefault="00481933" w:rsidP="000E2401">
            <w:pPr>
              <w:pStyle w:val="Prrafodelista"/>
              <w:suppressAutoHyphens/>
              <w:ind w:left="0" w:right="50"/>
              <w:jc w:val="both"/>
              <w:rPr>
                <w:color w:val="0D0D0D" w:themeColor="text1" w:themeTint="F2"/>
                <w:sz w:val="20"/>
              </w:rPr>
            </w:pPr>
            <w:r w:rsidRPr="00D90AA5">
              <w:rPr>
                <w:color w:val="0D0D0D" w:themeColor="text1" w:themeTint="F2"/>
                <w:sz w:val="20"/>
              </w:rPr>
              <w:t>(</w:t>
            </w:r>
            <w:r w:rsidR="00AB3AB3" w:rsidRPr="00D90AA5">
              <w:rPr>
                <w:color w:val="0D0D0D" w:themeColor="text1" w:themeTint="F2"/>
                <w:sz w:val="20"/>
              </w:rPr>
              <w:t>c</w:t>
            </w:r>
            <w:r w:rsidRPr="00D90AA5">
              <w:rPr>
                <w:color w:val="0D0D0D" w:themeColor="text1" w:themeTint="F2"/>
                <w:sz w:val="20"/>
              </w:rPr>
              <w:t xml:space="preserve">) </w:t>
            </w:r>
            <w:r w:rsidR="0056208C" w:rsidRPr="00D90AA5">
              <w:rPr>
                <w:color w:val="0D0D0D" w:themeColor="text1" w:themeTint="F2"/>
                <w:sz w:val="20"/>
              </w:rPr>
              <w:t xml:space="preserve">El crédito eventual respecto de la indemnización a pagarse bajo el Seguro de Carga, en caso de un siniestro que afecte a las mercaderías </w:t>
            </w:r>
            <w:r w:rsidR="009001F6" w:rsidRPr="00D90AA5">
              <w:rPr>
                <w:color w:val="0D0D0D" w:themeColor="text1" w:themeTint="F2"/>
                <w:sz w:val="20"/>
              </w:rPr>
              <w:t xml:space="preserve">exportadas y transportadas </w:t>
            </w:r>
            <w:r w:rsidR="0056208C" w:rsidRPr="00D90AA5">
              <w:rPr>
                <w:color w:val="0D0D0D" w:themeColor="text1" w:themeTint="F2"/>
                <w:sz w:val="20"/>
              </w:rPr>
              <w:t xml:space="preserve"> bajo las Facturas </w:t>
            </w:r>
            <w:r w:rsidR="00551D02" w:rsidRPr="00D90AA5">
              <w:rPr>
                <w:color w:val="0D0D0D" w:themeColor="text1" w:themeTint="F2"/>
                <w:sz w:val="20"/>
              </w:rPr>
              <w:t>Fideicomitidas.</w:t>
            </w:r>
          </w:p>
          <w:p w14:paraId="72DC4093" w14:textId="77777777" w:rsidR="00AB3AB3" w:rsidRPr="00D90AA5" w:rsidRDefault="0056208C" w:rsidP="000E2401">
            <w:pPr>
              <w:pStyle w:val="Prrafodelista"/>
              <w:suppressAutoHyphens/>
              <w:ind w:left="0" w:right="50"/>
              <w:jc w:val="both"/>
              <w:rPr>
                <w:color w:val="0D0D0D" w:themeColor="text1" w:themeTint="F2"/>
                <w:sz w:val="20"/>
              </w:rPr>
            </w:pPr>
            <w:r w:rsidRPr="00D90AA5">
              <w:rPr>
                <w:color w:val="0D0D0D" w:themeColor="text1" w:themeTint="F2"/>
                <w:sz w:val="20"/>
              </w:rPr>
              <w:t xml:space="preserve">(d) </w:t>
            </w:r>
            <w:r w:rsidR="00481933" w:rsidRPr="00D90AA5">
              <w:rPr>
                <w:color w:val="0D0D0D" w:themeColor="text1" w:themeTint="F2"/>
                <w:sz w:val="20"/>
              </w:rPr>
              <w:t xml:space="preserve">El crédito eventual </w:t>
            </w:r>
            <w:r w:rsidR="00AB3AB3" w:rsidRPr="00D90AA5">
              <w:rPr>
                <w:color w:val="0D0D0D" w:themeColor="text1" w:themeTint="F2"/>
                <w:sz w:val="20"/>
              </w:rPr>
              <w:t>contra los Transportistas por las indemnizaciones correspondientes a siniestros producidos durante el transporte de las mercaderías su</w:t>
            </w:r>
            <w:r w:rsidR="00FE6B55" w:rsidRPr="00D90AA5">
              <w:rPr>
                <w:color w:val="0D0D0D" w:themeColor="text1" w:themeTint="F2"/>
                <w:sz w:val="20"/>
              </w:rPr>
              <w:t>b</w:t>
            </w:r>
            <w:r w:rsidR="00AB3AB3" w:rsidRPr="00D90AA5">
              <w:rPr>
                <w:color w:val="0D0D0D" w:themeColor="text1" w:themeTint="F2"/>
                <w:sz w:val="20"/>
              </w:rPr>
              <w:t xml:space="preserve">yacentes a Facturas </w:t>
            </w:r>
            <w:r w:rsidR="00FE6B55" w:rsidRPr="00D90AA5">
              <w:rPr>
                <w:color w:val="0D0D0D" w:themeColor="text1" w:themeTint="F2"/>
                <w:sz w:val="20"/>
              </w:rPr>
              <w:t>F</w:t>
            </w:r>
            <w:r w:rsidR="00AB3AB3" w:rsidRPr="00D90AA5">
              <w:rPr>
                <w:color w:val="0D0D0D" w:themeColor="text1" w:themeTint="F2"/>
                <w:sz w:val="20"/>
              </w:rPr>
              <w:t xml:space="preserve">ideicomitidas, </w:t>
            </w:r>
            <w:r w:rsidRPr="00D90AA5">
              <w:rPr>
                <w:color w:val="0D0D0D" w:themeColor="text1" w:themeTint="F2"/>
                <w:sz w:val="20"/>
              </w:rPr>
              <w:t>no cubiertos por las indemnizaciones bajo el Seguro de Carga</w:t>
            </w:r>
            <w:r w:rsidR="00AB3AB3" w:rsidRPr="00D90AA5">
              <w:rPr>
                <w:color w:val="0D0D0D" w:themeColor="text1" w:themeTint="F2"/>
                <w:sz w:val="20"/>
              </w:rPr>
              <w:t>.</w:t>
            </w:r>
          </w:p>
          <w:p w14:paraId="06A6425D" w14:textId="77777777" w:rsidR="00481933" w:rsidRPr="00D90AA5" w:rsidRDefault="00AB3AB3" w:rsidP="000E2401">
            <w:pPr>
              <w:pStyle w:val="Prrafodelista"/>
              <w:suppressAutoHyphens/>
              <w:ind w:left="0" w:right="50"/>
              <w:jc w:val="both"/>
              <w:rPr>
                <w:color w:val="0D0D0D" w:themeColor="text1" w:themeTint="F2"/>
                <w:sz w:val="20"/>
              </w:rPr>
            </w:pPr>
            <w:r w:rsidRPr="00D90AA5">
              <w:rPr>
                <w:color w:val="0D0D0D" w:themeColor="text1" w:themeTint="F2"/>
                <w:sz w:val="20"/>
              </w:rPr>
              <w:t>(</w:t>
            </w:r>
            <w:r w:rsidR="0056208C" w:rsidRPr="00D90AA5">
              <w:rPr>
                <w:color w:val="0D0D0D" w:themeColor="text1" w:themeTint="F2"/>
                <w:sz w:val="20"/>
              </w:rPr>
              <w:t>e</w:t>
            </w:r>
            <w:r w:rsidRPr="00D90AA5">
              <w:rPr>
                <w:color w:val="0D0D0D" w:themeColor="text1" w:themeTint="F2"/>
                <w:sz w:val="20"/>
              </w:rPr>
              <w:t xml:space="preserve">) El crédito eventual </w:t>
            </w:r>
            <w:r w:rsidR="00481933" w:rsidRPr="00D90AA5">
              <w:rPr>
                <w:color w:val="0D0D0D" w:themeColor="text1" w:themeTint="F2"/>
                <w:sz w:val="20"/>
              </w:rPr>
              <w:t xml:space="preserve">respecto de la indemnización que deba pagarse bajo el Seguro de Crédito, en caso de falta de pago de las Facturas </w:t>
            </w:r>
            <w:r w:rsidR="00FE6B55" w:rsidRPr="00D90AA5">
              <w:rPr>
                <w:color w:val="0D0D0D" w:themeColor="text1" w:themeTint="F2"/>
                <w:sz w:val="20"/>
              </w:rPr>
              <w:t>Fideicomitidas</w:t>
            </w:r>
            <w:r w:rsidR="00481933" w:rsidRPr="00D90AA5">
              <w:rPr>
                <w:color w:val="0D0D0D" w:themeColor="text1" w:themeTint="F2"/>
                <w:sz w:val="20"/>
              </w:rPr>
              <w:t xml:space="preserve">, </w:t>
            </w:r>
            <w:r w:rsidR="00481933" w:rsidRPr="00D90AA5">
              <w:rPr>
                <w:color w:val="0D0D0D" w:themeColor="text1" w:themeTint="F2"/>
                <w:sz w:val="20"/>
                <w:lang w:val="es-ES"/>
              </w:rPr>
              <w:t xml:space="preserve">en proporción al monto </w:t>
            </w:r>
            <w:r w:rsidRPr="00D90AA5">
              <w:rPr>
                <w:color w:val="0D0D0D" w:themeColor="text1" w:themeTint="F2"/>
                <w:sz w:val="20"/>
                <w:lang w:val="es-ES"/>
              </w:rPr>
              <w:t xml:space="preserve">de las Facturas </w:t>
            </w:r>
            <w:r w:rsidR="00FE6B55" w:rsidRPr="00D90AA5">
              <w:rPr>
                <w:color w:val="0D0D0D" w:themeColor="text1" w:themeTint="F2"/>
                <w:sz w:val="20"/>
                <w:lang w:val="es-ES"/>
              </w:rPr>
              <w:t>F</w:t>
            </w:r>
            <w:r w:rsidR="00481933" w:rsidRPr="00D90AA5">
              <w:rPr>
                <w:color w:val="0D0D0D" w:themeColor="text1" w:themeTint="F2"/>
                <w:sz w:val="20"/>
                <w:lang w:val="es-ES"/>
              </w:rPr>
              <w:t>ideicomitid</w:t>
            </w:r>
            <w:r w:rsidRPr="00D90AA5">
              <w:rPr>
                <w:color w:val="0D0D0D" w:themeColor="text1" w:themeTint="F2"/>
                <w:sz w:val="20"/>
                <w:lang w:val="es-ES"/>
              </w:rPr>
              <w:t>a</w:t>
            </w:r>
            <w:r w:rsidR="00481933" w:rsidRPr="00D90AA5">
              <w:rPr>
                <w:color w:val="0D0D0D" w:themeColor="text1" w:themeTint="F2"/>
                <w:sz w:val="20"/>
                <w:lang w:val="es-ES"/>
              </w:rPr>
              <w:t>s</w:t>
            </w:r>
            <w:r w:rsidR="00796527" w:rsidRPr="00D90AA5">
              <w:rPr>
                <w:color w:val="0D0D0D" w:themeColor="text1" w:themeTint="F2"/>
                <w:sz w:val="20"/>
                <w:lang w:val="es-ES"/>
              </w:rPr>
              <w:t xml:space="preserve"> (los créditos enumerados de (a) á (e), los “</w:t>
            </w:r>
            <w:commentRangeStart w:id="1"/>
            <w:r w:rsidR="00796527" w:rsidRPr="00D90AA5">
              <w:rPr>
                <w:color w:val="0D0D0D" w:themeColor="text1" w:themeTint="F2"/>
                <w:sz w:val="20"/>
                <w:lang w:val="es-ES"/>
              </w:rPr>
              <w:t>Créditos</w:t>
            </w:r>
            <w:commentRangeEnd w:id="1"/>
            <w:r w:rsidR="00F41EE3">
              <w:rPr>
                <w:rStyle w:val="Refdecomentario"/>
                <w:rFonts w:ascii="Arial" w:hAnsi="Arial"/>
                <w:szCs w:val="20"/>
                <w:lang w:val="es-ES_tradnl"/>
              </w:rPr>
              <w:commentReference w:id="1"/>
            </w:r>
            <w:r w:rsidR="00796527" w:rsidRPr="00D90AA5">
              <w:rPr>
                <w:color w:val="0D0D0D" w:themeColor="text1" w:themeTint="F2"/>
                <w:sz w:val="20"/>
                <w:lang w:val="es-ES"/>
              </w:rPr>
              <w:t>”)</w:t>
            </w:r>
            <w:r w:rsidRPr="00D90AA5">
              <w:rPr>
                <w:color w:val="0D0D0D" w:themeColor="text1" w:themeTint="F2"/>
                <w:sz w:val="20"/>
              </w:rPr>
              <w:t>.</w:t>
            </w:r>
          </w:p>
          <w:p w14:paraId="334CA01C" w14:textId="77777777" w:rsidR="00481933" w:rsidRPr="00D90AA5" w:rsidRDefault="00481933" w:rsidP="000E2401">
            <w:pPr>
              <w:pStyle w:val="Prrafodelista"/>
              <w:suppressAutoHyphens/>
              <w:ind w:left="0" w:right="50"/>
              <w:jc w:val="both"/>
              <w:rPr>
                <w:color w:val="0D0D0D" w:themeColor="text1" w:themeTint="F2"/>
                <w:sz w:val="20"/>
              </w:rPr>
            </w:pPr>
            <w:r w:rsidRPr="00D90AA5">
              <w:rPr>
                <w:color w:val="0D0D0D" w:themeColor="text1" w:themeTint="F2"/>
                <w:sz w:val="20"/>
              </w:rPr>
              <w:t>(</w:t>
            </w:r>
            <w:r w:rsidR="0056208C" w:rsidRPr="00D90AA5">
              <w:rPr>
                <w:color w:val="0D0D0D" w:themeColor="text1" w:themeTint="F2"/>
                <w:sz w:val="20"/>
              </w:rPr>
              <w:t>f</w:t>
            </w:r>
            <w:r w:rsidRPr="00D90AA5">
              <w:rPr>
                <w:color w:val="0D0D0D" w:themeColor="text1" w:themeTint="F2"/>
                <w:sz w:val="20"/>
              </w:rPr>
              <w:t>) Todo producido, renta, amortización, indemnización, fruto, accesión y derecho que se obtenga de dichos Créditos o de la inversión de Fondos Líquidos Disponibles (todos los enumerados, en conjunto, los “Bienes Fideicomitidos”).</w:t>
            </w:r>
          </w:p>
          <w:p w14:paraId="1DA7201A" w14:textId="77777777" w:rsidR="00481933" w:rsidRPr="00D90AA5" w:rsidRDefault="00481933" w:rsidP="000E2401">
            <w:pPr>
              <w:rPr>
                <w:color w:val="0D0D0D" w:themeColor="text1" w:themeTint="F2"/>
                <w:sz w:val="20"/>
              </w:rPr>
            </w:pPr>
          </w:p>
          <w:p w14:paraId="2F873553" w14:textId="4CB02196" w:rsidR="00CB12D7" w:rsidRPr="00D90AA5" w:rsidRDefault="00481933" w:rsidP="000E2401">
            <w:pPr>
              <w:jc w:val="both"/>
              <w:rPr>
                <w:color w:val="0D0D0D" w:themeColor="text1" w:themeTint="F2"/>
                <w:sz w:val="20"/>
              </w:rPr>
            </w:pPr>
            <w:r w:rsidRPr="00D90AA5">
              <w:rPr>
                <w:b/>
                <w:color w:val="0D0D0D" w:themeColor="text1" w:themeTint="F2"/>
                <w:sz w:val="20"/>
              </w:rPr>
              <w:t>“Facturas de Exportación”:</w:t>
            </w:r>
            <w:r w:rsidRPr="00D90AA5">
              <w:rPr>
                <w:color w:val="0D0D0D" w:themeColor="text1" w:themeTint="F2"/>
                <w:sz w:val="20"/>
              </w:rPr>
              <w:t xml:space="preserve"> significa las facturas que </w:t>
            </w:r>
            <w:r w:rsidR="00CB12D7" w:rsidRPr="00D90AA5">
              <w:rPr>
                <w:color w:val="0D0D0D" w:themeColor="text1" w:themeTint="F2"/>
                <w:sz w:val="20"/>
              </w:rPr>
              <w:t xml:space="preserve">emite </w:t>
            </w:r>
            <w:r w:rsidR="00F41EE3">
              <w:rPr>
                <w:color w:val="0D0D0D" w:themeColor="text1" w:themeTint="F2"/>
                <w:sz w:val="20"/>
              </w:rPr>
              <w:t>cada</w:t>
            </w:r>
            <w:r w:rsidRPr="00D90AA5">
              <w:rPr>
                <w:color w:val="0D0D0D" w:themeColor="text1" w:themeTint="F2"/>
                <w:sz w:val="20"/>
              </w:rPr>
              <w:t xml:space="preserve"> Fiduciante contra Importadores Elegibles por exportaciones de </w:t>
            </w:r>
            <w:r w:rsidR="00F41EE3">
              <w:rPr>
                <w:color w:val="0D0D0D" w:themeColor="text1" w:themeTint="F2"/>
                <w:sz w:val="20"/>
              </w:rPr>
              <w:t>productos vitivinícolas</w:t>
            </w:r>
            <w:r w:rsidRPr="00D90AA5">
              <w:rPr>
                <w:color w:val="0D0D0D" w:themeColor="text1" w:themeTint="F2"/>
                <w:sz w:val="20"/>
              </w:rPr>
              <w:t>.</w:t>
            </w:r>
          </w:p>
          <w:p w14:paraId="71158D9C" w14:textId="77267FB0" w:rsidR="00CB12D7" w:rsidRPr="00D90AA5" w:rsidRDefault="00FE6B55" w:rsidP="000E2401">
            <w:pPr>
              <w:jc w:val="both"/>
              <w:rPr>
                <w:b/>
                <w:color w:val="0D0D0D" w:themeColor="text1" w:themeTint="F2"/>
                <w:sz w:val="20"/>
              </w:rPr>
            </w:pPr>
            <w:r w:rsidRPr="00D90AA5">
              <w:rPr>
                <w:b/>
                <w:color w:val="0D0D0D" w:themeColor="text1" w:themeTint="F2"/>
                <w:sz w:val="20"/>
              </w:rPr>
              <w:t>“Facturas Fideicomitidas”:</w:t>
            </w:r>
            <w:r w:rsidRPr="00D90AA5">
              <w:rPr>
                <w:color w:val="0D0D0D" w:themeColor="text1" w:themeTint="F2"/>
                <w:sz w:val="20"/>
              </w:rPr>
              <w:t xml:space="preserve"> las Facturas de Exportación efectivamente </w:t>
            </w:r>
            <w:r w:rsidR="004B49BE" w:rsidRPr="00D90AA5">
              <w:rPr>
                <w:color w:val="0D0D0D" w:themeColor="text1" w:themeTint="F2"/>
                <w:sz w:val="20"/>
              </w:rPr>
              <w:t>fideicomitidas</w:t>
            </w:r>
            <w:r w:rsidR="00BB0389" w:rsidRPr="00D90AA5">
              <w:rPr>
                <w:color w:val="0D0D0D" w:themeColor="text1" w:themeTint="F2"/>
                <w:sz w:val="20"/>
              </w:rPr>
              <w:t>.</w:t>
            </w:r>
          </w:p>
          <w:p w14:paraId="62E69F6B" w14:textId="0357D64D" w:rsidR="00481933" w:rsidRPr="00455144" w:rsidRDefault="00481933" w:rsidP="000E2401">
            <w:pPr>
              <w:suppressAutoHyphens/>
              <w:ind w:right="50"/>
              <w:jc w:val="both"/>
              <w:rPr>
                <w:color w:val="000000"/>
                <w:sz w:val="20"/>
                <w:szCs w:val="20"/>
                <w:bdr w:val="none" w:sz="0" w:space="0" w:color="auto" w:frame="1"/>
                <w:lang w:eastAsia="es-AR"/>
              </w:rPr>
            </w:pPr>
            <w:r w:rsidRPr="00D90AA5">
              <w:rPr>
                <w:b/>
                <w:color w:val="0D0D0D" w:themeColor="text1" w:themeTint="F2"/>
                <w:sz w:val="20"/>
              </w:rPr>
              <w:t xml:space="preserve">“Importadores </w:t>
            </w:r>
            <w:r w:rsidR="004B49BE" w:rsidRPr="00D90AA5">
              <w:rPr>
                <w:b/>
                <w:color w:val="0D0D0D" w:themeColor="text1" w:themeTint="F2"/>
                <w:sz w:val="20"/>
              </w:rPr>
              <w:t>Elegibles”:</w:t>
            </w:r>
            <w:r w:rsidR="00CB7D92" w:rsidRPr="00D90AA5">
              <w:rPr>
                <w:sz w:val="22"/>
                <w:szCs w:val="22"/>
              </w:rPr>
              <w:t xml:space="preserve"> </w:t>
            </w:r>
            <w:r w:rsidR="00CB7D92" w:rsidRPr="00D90AA5">
              <w:rPr>
                <w:color w:val="0D0D0D" w:themeColor="text1" w:themeTint="F2"/>
                <w:sz w:val="20"/>
              </w:rPr>
              <w:t>son las empresas importadoras clientes de</w:t>
            </w:r>
            <w:r w:rsidR="00F41EE3">
              <w:rPr>
                <w:color w:val="0D0D0D" w:themeColor="text1" w:themeTint="F2"/>
                <w:sz w:val="20"/>
              </w:rPr>
              <w:t xml:space="preserve"> cada</w:t>
            </w:r>
            <w:r w:rsidR="00CB7D92" w:rsidRPr="00D90AA5">
              <w:rPr>
                <w:color w:val="0D0D0D" w:themeColor="text1" w:themeTint="F2"/>
                <w:sz w:val="20"/>
              </w:rPr>
              <w:t xml:space="preserve"> Fiduciante </w:t>
            </w:r>
            <w:r w:rsidR="00F41EE3">
              <w:rPr>
                <w:color w:val="0D0D0D" w:themeColor="text1" w:themeTint="F2"/>
                <w:sz w:val="20"/>
              </w:rPr>
              <w:t>[</w:t>
            </w:r>
            <w:r w:rsidR="00CB7D92" w:rsidRPr="00D90AA5">
              <w:rPr>
                <w:color w:val="0D0D0D" w:themeColor="text1" w:themeTint="F2"/>
                <w:sz w:val="20"/>
              </w:rPr>
              <w:t>admitidas por el Asegurador del Seguro de Crédito</w:t>
            </w:r>
            <w:r w:rsidR="00F41EE3">
              <w:rPr>
                <w:color w:val="0D0D0D" w:themeColor="text1" w:themeTint="F2"/>
                <w:sz w:val="20"/>
              </w:rPr>
              <w:t>]</w:t>
            </w:r>
            <w:r w:rsidR="00CB7D92" w:rsidRPr="00D90AA5">
              <w:rPr>
                <w:color w:val="0D0D0D" w:themeColor="text1" w:themeTint="F2"/>
                <w:sz w:val="20"/>
              </w:rPr>
              <w:t xml:space="preserve"> a efectos de la cobertura correspondiente, que se indican a continuación, y aquellas que en adición o sustitución de las indicadas especifique </w:t>
            </w:r>
            <w:r w:rsidR="00F41EE3">
              <w:rPr>
                <w:color w:val="0D0D0D" w:themeColor="text1" w:themeTint="F2"/>
                <w:sz w:val="20"/>
              </w:rPr>
              <w:t>cada</w:t>
            </w:r>
            <w:r w:rsidR="00CB7D92" w:rsidRPr="00D90AA5">
              <w:rPr>
                <w:color w:val="0D0D0D" w:themeColor="text1" w:themeTint="F2"/>
                <w:sz w:val="20"/>
              </w:rPr>
              <w:t xml:space="preserve"> Fiduciante con arreglo a lo dispuesto en el </w:t>
            </w:r>
            <w:r w:rsidR="00F41EE3">
              <w:rPr>
                <w:color w:val="0D0D0D" w:themeColor="text1" w:themeTint="F2"/>
                <w:sz w:val="20"/>
              </w:rPr>
              <w:t>Contrato Suplementario</w:t>
            </w:r>
            <w:r w:rsidR="00CB7D92" w:rsidRPr="00D90AA5">
              <w:rPr>
                <w:color w:val="0D0D0D" w:themeColor="text1" w:themeTint="F2"/>
                <w:sz w:val="20"/>
              </w:rPr>
              <w:t>:</w:t>
            </w:r>
            <w:r w:rsidR="00F41EE3">
              <w:rPr>
                <w:color w:val="0D0D0D" w:themeColor="text1" w:themeTint="F2"/>
                <w:sz w:val="20"/>
              </w:rPr>
              <w:t xml:space="preserve"> ______________________.</w:t>
            </w:r>
          </w:p>
          <w:p w14:paraId="7401AE26" w14:textId="77777777" w:rsidR="00D42676" w:rsidRPr="00455144" w:rsidRDefault="00D42676" w:rsidP="000E2401">
            <w:pPr>
              <w:suppressAutoHyphens/>
              <w:ind w:right="50"/>
              <w:jc w:val="both"/>
              <w:rPr>
                <w:color w:val="0D0D0D" w:themeColor="text1" w:themeTint="F2"/>
                <w:sz w:val="20"/>
              </w:rPr>
            </w:pPr>
          </w:p>
          <w:p w14:paraId="544FE6D8" w14:textId="27ECC9F0" w:rsidR="00D42676" w:rsidRPr="008038F7" w:rsidRDefault="00D42676" w:rsidP="000E2401">
            <w:pPr>
              <w:suppressAutoHyphens/>
              <w:ind w:right="50"/>
              <w:jc w:val="both"/>
              <w:rPr>
                <w:color w:val="0D0D0D" w:themeColor="text1" w:themeTint="F2"/>
                <w:sz w:val="20"/>
              </w:rPr>
            </w:pPr>
            <w:r w:rsidRPr="00D90AA5">
              <w:rPr>
                <w:color w:val="0D0D0D" w:themeColor="text1" w:themeTint="F2"/>
                <w:sz w:val="20"/>
              </w:rPr>
              <w:t xml:space="preserve">Por el importe equivalente a la Cobranza, deducida la contribución al Fondo de Gastos y el importe que corresponda destinar al pago de los Servicios de los VDF, </w:t>
            </w:r>
            <w:r w:rsidR="005E3BC3">
              <w:rPr>
                <w:color w:val="0D0D0D" w:themeColor="text1" w:themeTint="F2"/>
                <w:sz w:val="20"/>
              </w:rPr>
              <w:t>cada</w:t>
            </w:r>
            <w:r w:rsidRPr="00D90AA5">
              <w:rPr>
                <w:color w:val="0D0D0D" w:themeColor="text1" w:themeTint="F2"/>
                <w:sz w:val="20"/>
              </w:rPr>
              <w:t xml:space="preserve"> Fiduciante transferirá al </w:t>
            </w:r>
            <w:r w:rsidRPr="00C67013">
              <w:rPr>
                <w:color w:val="0D0D0D" w:themeColor="text1" w:themeTint="F2"/>
                <w:sz w:val="20"/>
              </w:rPr>
              <w:t xml:space="preserve">Fideicomiso nuevas Facturas de Exportación que cumplan con los Requisitos de las Facturas por Exportación, hasta el pago total de los Servicios, de manera que el importe de las Facturas Fideicomitidas no sea menor al valor nominal no amortizado de los Valores de Deuda Fiduciaria en circulación con más la </w:t>
            </w:r>
            <w:proofErr w:type="spellStart"/>
            <w:r w:rsidRPr="00C67013">
              <w:rPr>
                <w:color w:val="0D0D0D" w:themeColor="text1" w:themeTint="F2"/>
                <w:sz w:val="20"/>
              </w:rPr>
              <w:t>Sobreintegración</w:t>
            </w:r>
            <w:proofErr w:type="spellEnd"/>
            <w:r w:rsidRPr="00C67013">
              <w:rPr>
                <w:color w:val="0D0D0D" w:themeColor="text1" w:themeTint="F2"/>
                <w:sz w:val="20"/>
              </w:rPr>
              <w:t xml:space="preserve"> Mínima (este última relación, el “Requisito de </w:t>
            </w:r>
            <w:commentRangeStart w:id="2"/>
            <w:r w:rsidRPr="00C67013">
              <w:rPr>
                <w:color w:val="0D0D0D" w:themeColor="text1" w:themeTint="F2"/>
                <w:sz w:val="20"/>
              </w:rPr>
              <w:t>Cobertura</w:t>
            </w:r>
            <w:commentRangeEnd w:id="2"/>
            <w:r w:rsidR="005E3BC3">
              <w:rPr>
                <w:rStyle w:val="Refdecomentario"/>
                <w:rFonts w:ascii="Arial" w:hAnsi="Arial"/>
                <w:szCs w:val="20"/>
                <w:lang w:val="es-ES_tradnl"/>
              </w:rPr>
              <w:commentReference w:id="2"/>
            </w:r>
            <w:r w:rsidRPr="00C67013">
              <w:rPr>
                <w:color w:val="0D0D0D" w:themeColor="text1" w:themeTint="F2"/>
                <w:sz w:val="20"/>
              </w:rPr>
              <w:t>”).</w:t>
            </w:r>
          </w:p>
          <w:p w14:paraId="447EAE8D" w14:textId="77777777" w:rsidR="005949EE" w:rsidRPr="008038F7" w:rsidRDefault="005949EE" w:rsidP="000E2401">
            <w:pPr>
              <w:spacing w:line="240" w:lineRule="atLeast"/>
              <w:jc w:val="both"/>
              <w:rPr>
                <w:sz w:val="20"/>
              </w:rPr>
            </w:pPr>
          </w:p>
        </w:tc>
      </w:tr>
      <w:tr w:rsidR="00481933" w:rsidRPr="00D90AA5" w14:paraId="27B0A457" w14:textId="77777777" w:rsidTr="000E2401">
        <w:trPr>
          <w:cantSplit/>
        </w:trPr>
        <w:tc>
          <w:tcPr>
            <w:tcW w:w="2502" w:type="dxa"/>
          </w:tcPr>
          <w:p w14:paraId="22DAD5DF" w14:textId="19116C3B" w:rsidR="00481933" w:rsidRPr="00C67013" w:rsidRDefault="00504FC8" w:rsidP="000E2401">
            <w:pPr>
              <w:widowControl w:val="0"/>
              <w:suppressLineNumbers/>
              <w:suppressAutoHyphens/>
              <w:rPr>
                <w:sz w:val="20"/>
                <w:szCs w:val="20"/>
              </w:rPr>
            </w:pPr>
            <w:r>
              <w:rPr>
                <w:b/>
                <w:sz w:val="20"/>
                <w:szCs w:val="20"/>
              </w:rPr>
              <w:t xml:space="preserve">15. </w:t>
            </w:r>
            <w:r w:rsidR="00481933" w:rsidRPr="00D90AA5">
              <w:rPr>
                <w:b/>
                <w:sz w:val="20"/>
                <w:szCs w:val="20"/>
              </w:rPr>
              <w:t xml:space="preserve">Valores de Deuda Fiduciaria (“VDF”) </w:t>
            </w:r>
          </w:p>
        </w:tc>
        <w:tc>
          <w:tcPr>
            <w:tcW w:w="7207" w:type="dxa"/>
          </w:tcPr>
          <w:p w14:paraId="404BA015" w14:textId="2AC89F47" w:rsidR="00481933" w:rsidRPr="00D90AA5" w:rsidRDefault="00481933" w:rsidP="000E2401">
            <w:pPr>
              <w:jc w:val="both"/>
              <w:rPr>
                <w:sz w:val="20"/>
                <w:szCs w:val="20"/>
              </w:rPr>
            </w:pPr>
            <w:r w:rsidRPr="00C67013">
              <w:rPr>
                <w:sz w:val="20"/>
                <w:szCs w:val="20"/>
              </w:rPr>
              <w:t>Valor nominal de U$S</w:t>
            </w:r>
            <w:r w:rsidR="000E5DB6" w:rsidRPr="00D90AA5">
              <w:rPr>
                <w:sz w:val="20"/>
                <w:szCs w:val="20"/>
              </w:rPr>
              <w:t xml:space="preserve"> </w:t>
            </w:r>
            <w:r w:rsidR="005E3BC3">
              <w:rPr>
                <w:sz w:val="20"/>
                <w:szCs w:val="20"/>
              </w:rPr>
              <w:t>__</w:t>
            </w:r>
            <w:r w:rsidR="000E5DB6" w:rsidRPr="00D90AA5">
              <w:rPr>
                <w:sz w:val="20"/>
                <w:szCs w:val="20"/>
              </w:rPr>
              <w:t>.000.000</w:t>
            </w:r>
            <w:r w:rsidRPr="00D90AA5">
              <w:rPr>
                <w:sz w:val="20"/>
                <w:szCs w:val="20"/>
              </w:rPr>
              <w:t xml:space="preserve"> (Dólares</w:t>
            </w:r>
            <w:r w:rsidR="000E5DB6" w:rsidRPr="00D90AA5">
              <w:rPr>
                <w:sz w:val="20"/>
                <w:szCs w:val="20"/>
              </w:rPr>
              <w:t xml:space="preserve"> </w:t>
            </w:r>
            <w:r w:rsidR="00944C76">
              <w:rPr>
                <w:sz w:val="20"/>
                <w:szCs w:val="20"/>
              </w:rPr>
              <w:t>___</w:t>
            </w:r>
            <w:r w:rsidR="000E5DB6" w:rsidRPr="00D90AA5">
              <w:rPr>
                <w:sz w:val="20"/>
                <w:szCs w:val="20"/>
              </w:rPr>
              <w:t xml:space="preserve"> millones). Los VD</w:t>
            </w:r>
            <w:r w:rsidR="00A5154B" w:rsidRPr="00D90AA5">
              <w:rPr>
                <w:sz w:val="20"/>
                <w:szCs w:val="20"/>
              </w:rPr>
              <w:t xml:space="preserve">F representan el </w:t>
            </w:r>
            <w:r w:rsidR="00504FC8">
              <w:rPr>
                <w:sz w:val="20"/>
                <w:szCs w:val="20"/>
              </w:rPr>
              <w:t>___</w:t>
            </w:r>
            <w:r w:rsidR="00A91A9B" w:rsidRPr="00D90AA5">
              <w:rPr>
                <w:sz w:val="20"/>
                <w:szCs w:val="20"/>
              </w:rPr>
              <w:t xml:space="preserve"> </w:t>
            </w:r>
            <w:r w:rsidR="00A5154B" w:rsidRPr="00D90AA5">
              <w:rPr>
                <w:sz w:val="20"/>
                <w:szCs w:val="20"/>
              </w:rPr>
              <w:t>% del monto total de l</w:t>
            </w:r>
            <w:r w:rsidR="00447479" w:rsidRPr="00D90AA5">
              <w:rPr>
                <w:sz w:val="20"/>
                <w:szCs w:val="20"/>
              </w:rPr>
              <w:t>a</w:t>
            </w:r>
            <w:r w:rsidR="00A5154B" w:rsidRPr="00D90AA5">
              <w:rPr>
                <w:sz w:val="20"/>
                <w:szCs w:val="20"/>
              </w:rPr>
              <w:t xml:space="preserve">s </w:t>
            </w:r>
            <w:r w:rsidR="00447479" w:rsidRPr="00D90AA5">
              <w:rPr>
                <w:sz w:val="20"/>
                <w:szCs w:val="20"/>
              </w:rPr>
              <w:t>Factura</w:t>
            </w:r>
            <w:r w:rsidR="00A5154B" w:rsidRPr="00D90AA5">
              <w:rPr>
                <w:sz w:val="20"/>
                <w:szCs w:val="20"/>
              </w:rPr>
              <w:t xml:space="preserve">s </w:t>
            </w:r>
            <w:r w:rsidR="00447479" w:rsidRPr="00D90AA5">
              <w:rPr>
                <w:sz w:val="20"/>
                <w:szCs w:val="20"/>
              </w:rPr>
              <w:t>F</w:t>
            </w:r>
            <w:r w:rsidR="00A5154B" w:rsidRPr="00D90AA5">
              <w:rPr>
                <w:sz w:val="20"/>
                <w:szCs w:val="20"/>
              </w:rPr>
              <w:t>ideicomitid</w:t>
            </w:r>
            <w:r w:rsidR="00447479" w:rsidRPr="00D90AA5">
              <w:rPr>
                <w:sz w:val="20"/>
                <w:szCs w:val="20"/>
              </w:rPr>
              <w:t>a</w:t>
            </w:r>
            <w:r w:rsidR="00A5154B" w:rsidRPr="00D90AA5">
              <w:rPr>
                <w:sz w:val="20"/>
                <w:szCs w:val="20"/>
              </w:rPr>
              <w:t>s</w:t>
            </w:r>
            <w:r w:rsidR="008B26D0" w:rsidRPr="00D90AA5">
              <w:rPr>
                <w:sz w:val="20"/>
                <w:szCs w:val="20"/>
              </w:rPr>
              <w:t xml:space="preserve"> a la Fecha de Análisis </w:t>
            </w:r>
            <w:commentRangeStart w:id="3"/>
            <w:r w:rsidR="008B26D0" w:rsidRPr="00D90AA5">
              <w:rPr>
                <w:sz w:val="20"/>
                <w:szCs w:val="20"/>
              </w:rPr>
              <w:t>inicial</w:t>
            </w:r>
            <w:commentRangeEnd w:id="3"/>
            <w:r w:rsidR="00504FC8">
              <w:rPr>
                <w:rStyle w:val="Refdecomentario"/>
                <w:rFonts w:ascii="Arial" w:hAnsi="Arial"/>
                <w:szCs w:val="20"/>
                <w:lang w:val="es-ES_tradnl"/>
              </w:rPr>
              <w:commentReference w:id="3"/>
            </w:r>
            <w:r w:rsidR="00A5154B" w:rsidRPr="00D90AA5">
              <w:rPr>
                <w:sz w:val="20"/>
                <w:szCs w:val="20"/>
              </w:rPr>
              <w:t>.</w:t>
            </w:r>
          </w:p>
          <w:p w14:paraId="304917D4" w14:textId="66DC09AF" w:rsidR="00481933" w:rsidRPr="00D90AA5" w:rsidRDefault="00481933" w:rsidP="00CF0F65">
            <w:pPr>
              <w:widowControl w:val="0"/>
              <w:jc w:val="both"/>
              <w:rPr>
                <w:sz w:val="20"/>
                <w:szCs w:val="20"/>
              </w:rPr>
            </w:pPr>
            <w:r w:rsidRPr="00D90AA5">
              <w:rPr>
                <w:sz w:val="20"/>
                <w:szCs w:val="20"/>
              </w:rPr>
              <w:t xml:space="preserve">Los VDF dan derecho, una vez cubiertos los conceptos indicados el artículo 4.4.II del Contrato Suplementario, </w:t>
            </w:r>
            <w:r w:rsidR="00F066E3" w:rsidRPr="00D90AA5">
              <w:rPr>
                <w:sz w:val="20"/>
                <w:szCs w:val="20"/>
              </w:rPr>
              <w:t>según el</w:t>
            </w:r>
            <w:r w:rsidRPr="00D90AA5">
              <w:rPr>
                <w:sz w:val="20"/>
                <w:szCs w:val="20"/>
              </w:rPr>
              <w:t xml:space="preserve"> caso, a la amortización del capital y al pago de un interés fijo</w:t>
            </w:r>
            <w:r w:rsidR="00452256" w:rsidRPr="00D90AA5">
              <w:rPr>
                <w:sz w:val="20"/>
                <w:szCs w:val="20"/>
              </w:rPr>
              <w:t xml:space="preserve"> sobre saldos de capital</w:t>
            </w:r>
            <w:r w:rsidRPr="00D90AA5">
              <w:rPr>
                <w:sz w:val="20"/>
                <w:szCs w:val="20"/>
              </w:rPr>
              <w:t xml:space="preserve"> devengado durante el Período de Devengamiento equivalente </w:t>
            </w:r>
            <w:r w:rsidR="00581835" w:rsidRPr="00D90AA5">
              <w:rPr>
                <w:sz w:val="20"/>
                <w:szCs w:val="20"/>
              </w:rPr>
              <w:t xml:space="preserve">al 2 </w:t>
            </w:r>
            <w:r w:rsidRPr="00D90AA5">
              <w:rPr>
                <w:sz w:val="20"/>
                <w:szCs w:val="20"/>
              </w:rPr>
              <w:t xml:space="preserve">% nominal anual. Los Servicios se pagarán de acuerdo al Cuadro de Pago de </w:t>
            </w:r>
            <w:commentRangeStart w:id="4"/>
            <w:r w:rsidRPr="00D90AA5">
              <w:rPr>
                <w:sz w:val="20"/>
                <w:szCs w:val="20"/>
              </w:rPr>
              <w:t>Servicios</w:t>
            </w:r>
            <w:commentRangeEnd w:id="4"/>
            <w:r w:rsidR="00504FC8">
              <w:rPr>
                <w:rStyle w:val="Refdecomentario"/>
                <w:rFonts w:ascii="Arial" w:hAnsi="Arial"/>
                <w:szCs w:val="20"/>
                <w:lang w:val="es-ES_tradnl"/>
              </w:rPr>
              <w:commentReference w:id="4"/>
            </w:r>
            <w:r w:rsidRPr="00D90AA5">
              <w:rPr>
                <w:sz w:val="20"/>
                <w:szCs w:val="20"/>
              </w:rPr>
              <w:t>.</w:t>
            </w:r>
          </w:p>
          <w:p w14:paraId="1DF3A93F" w14:textId="77777777" w:rsidR="00481933" w:rsidRPr="00D90AA5" w:rsidRDefault="00481933" w:rsidP="00D42676">
            <w:pPr>
              <w:jc w:val="both"/>
              <w:rPr>
                <w:sz w:val="20"/>
                <w:szCs w:val="20"/>
              </w:rPr>
            </w:pPr>
          </w:p>
        </w:tc>
      </w:tr>
      <w:tr w:rsidR="002408B9" w:rsidRPr="00D90AA5" w:rsidDel="00066C87" w14:paraId="257507FB" w14:textId="77777777" w:rsidTr="000E2401">
        <w:trPr>
          <w:cantSplit/>
          <w:trHeight w:val="690"/>
        </w:trPr>
        <w:tc>
          <w:tcPr>
            <w:tcW w:w="2502" w:type="dxa"/>
          </w:tcPr>
          <w:p w14:paraId="4CF967AD" w14:textId="66749A2A" w:rsidR="002408B9" w:rsidRDefault="002408B9" w:rsidP="000E2401">
            <w:pPr>
              <w:widowControl w:val="0"/>
              <w:suppressLineNumbers/>
              <w:suppressAutoHyphens/>
              <w:spacing w:line="240" w:lineRule="atLeast"/>
              <w:rPr>
                <w:b/>
                <w:sz w:val="20"/>
                <w:szCs w:val="20"/>
              </w:rPr>
            </w:pPr>
            <w:r>
              <w:rPr>
                <w:b/>
                <w:sz w:val="20"/>
                <w:szCs w:val="20"/>
              </w:rPr>
              <w:t>16. Plazo final</w:t>
            </w:r>
          </w:p>
        </w:tc>
        <w:tc>
          <w:tcPr>
            <w:tcW w:w="7207" w:type="dxa"/>
          </w:tcPr>
          <w:p w14:paraId="170B3ECD" w14:textId="36627197" w:rsidR="002408B9" w:rsidRPr="00D90AA5" w:rsidRDefault="002408B9" w:rsidP="000E2401">
            <w:pPr>
              <w:jc w:val="both"/>
              <w:rPr>
                <w:sz w:val="20"/>
                <w:szCs w:val="20"/>
              </w:rPr>
            </w:pPr>
            <w:r>
              <w:rPr>
                <w:sz w:val="20"/>
                <w:szCs w:val="20"/>
              </w:rPr>
              <w:t>[</w:t>
            </w:r>
            <w:r w:rsidRPr="00D2183C">
              <w:rPr>
                <w:sz w:val="20"/>
                <w:szCs w:val="20"/>
              </w:rPr>
              <w:t>18</w:t>
            </w:r>
            <w:r w:rsidR="00D866DC" w:rsidRPr="00D2183C">
              <w:rPr>
                <w:sz w:val="20"/>
                <w:szCs w:val="20"/>
              </w:rPr>
              <w:t>/24</w:t>
            </w:r>
            <w:r w:rsidRPr="00D2183C">
              <w:rPr>
                <w:sz w:val="20"/>
                <w:szCs w:val="20"/>
              </w:rPr>
              <w:t>] meses</w:t>
            </w:r>
          </w:p>
        </w:tc>
      </w:tr>
      <w:tr w:rsidR="00AE7D5A" w:rsidRPr="00D90AA5" w:rsidDel="00066C87" w14:paraId="5D76BE5C" w14:textId="77777777" w:rsidTr="000E2401">
        <w:trPr>
          <w:cantSplit/>
          <w:trHeight w:val="690"/>
        </w:trPr>
        <w:tc>
          <w:tcPr>
            <w:tcW w:w="2502" w:type="dxa"/>
          </w:tcPr>
          <w:p w14:paraId="44B44B9D" w14:textId="3B288D8C" w:rsidR="00AE7D5A" w:rsidRPr="00D90AA5" w:rsidRDefault="00504FC8" w:rsidP="002408B9">
            <w:pPr>
              <w:widowControl w:val="0"/>
              <w:suppressLineNumbers/>
              <w:suppressAutoHyphens/>
              <w:spacing w:line="240" w:lineRule="atLeast"/>
              <w:rPr>
                <w:b/>
                <w:sz w:val="20"/>
                <w:szCs w:val="20"/>
              </w:rPr>
            </w:pPr>
            <w:r>
              <w:rPr>
                <w:b/>
                <w:sz w:val="20"/>
                <w:szCs w:val="20"/>
              </w:rPr>
              <w:t>1</w:t>
            </w:r>
            <w:r w:rsidR="002408B9">
              <w:rPr>
                <w:b/>
                <w:sz w:val="20"/>
                <w:szCs w:val="20"/>
              </w:rPr>
              <w:t>7</w:t>
            </w:r>
            <w:r>
              <w:rPr>
                <w:b/>
                <w:sz w:val="20"/>
                <w:szCs w:val="20"/>
              </w:rPr>
              <w:t xml:space="preserve">. </w:t>
            </w:r>
            <w:r w:rsidR="00AE7D5A" w:rsidRPr="00D90AA5">
              <w:rPr>
                <w:b/>
                <w:sz w:val="20"/>
                <w:szCs w:val="20"/>
              </w:rPr>
              <w:t>Fechas de pago de Servicios</w:t>
            </w:r>
          </w:p>
        </w:tc>
        <w:tc>
          <w:tcPr>
            <w:tcW w:w="7207" w:type="dxa"/>
          </w:tcPr>
          <w:p w14:paraId="6C381B1F" w14:textId="2FFE27E7" w:rsidR="00AE7D5A" w:rsidRPr="00D90AA5" w:rsidRDefault="00AE7D5A" w:rsidP="000E2401">
            <w:pPr>
              <w:jc w:val="both"/>
              <w:rPr>
                <w:sz w:val="20"/>
                <w:szCs w:val="20"/>
              </w:rPr>
            </w:pPr>
            <w:r w:rsidRPr="00D90AA5">
              <w:rPr>
                <w:sz w:val="20"/>
                <w:szCs w:val="20"/>
              </w:rPr>
              <w:t xml:space="preserve">Los Servicios serán pagados </w:t>
            </w:r>
            <w:r w:rsidR="002408B9">
              <w:rPr>
                <w:sz w:val="20"/>
                <w:szCs w:val="20"/>
              </w:rPr>
              <w:t xml:space="preserve">[mensualmente][trimestralmente] </w:t>
            </w:r>
            <w:r w:rsidRPr="00D90AA5">
              <w:rPr>
                <w:sz w:val="20"/>
                <w:szCs w:val="20"/>
              </w:rPr>
              <w:t>por el Fiduciario en las Fechas de Pago de Servicios indicadas en el Cuadro de Pago de Servicios, en pesos conforme al Tipo de Cambio Aplicable al Pago de Servicios, mediante la transferencia de los importes correspondientes a la Caja de Valores S. A., para su acreditación en las respectivas cuentas de los titulares de Valores de Deuda Fiduciaria con derecho al cobro.</w:t>
            </w:r>
          </w:p>
          <w:p w14:paraId="53C591C9" w14:textId="2994AE73" w:rsidR="00AE7D5A" w:rsidRPr="00D90AA5" w:rsidRDefault="00AE7D5A" w:rsidP="000E2401">
            <w:pPr>
              <w:jc w:val="both"/>
              <w:rPr>
                <w:sz w:val="20"/>
                <w:szCs w:val="20"/>
              </w:rPr>
            </w:pPr>
          </w:p>
        </w:tc>
      </w:tr>
      <w:tr w:rsidR="00481933" w:rsidRPr="00D90AA5" w:rsidDel="00066C87" w14:paraId="7307BB76" w14:textId="77777777" w:rsidTr="000E2401">
        <w:trPr>
          <w:cantSplit/>
          <w:trHeight w:val="690"/>
        </w:trPr>
        <w:tc>
          <w:tcPr>
            <w:tcW w:w="2502" w:type="dxa"/>
          </w:tcPr>
          <w:p w14:paraId="3E9D57E6" w14:textId="574A7E92" w:rsidR="00481933" w:rsidRPr="00D90AA5" w:rsidDel="00066C87" w:rsidRDefault="002408B9" w:rsidP="000E2401">
            <w:pPr>
              <w:widowControl w:val="0"/>
              <w:suppressLineNumbers/>
              <w:suppressAutoHyphens/>
              <w:spacing w:line="240" w:lineRule="atLeast"/>
              <w:rPr>
                <w:b/>
                <w:sz w:val="20"/>
                <w:szCs w:val="20"/>
              </w:rPr>
            </w:pPr>
            <w:r>
              <w:rPr>
                <w:b/>
                <w:sz w:val="20"/>
                <w:szCs w:val="20"/>
              </w:rPr>
              <w:t>18</w:t>
            </w:r>
            <w:r w:rsidR="00504FC8">
              <w:rPr>
                <w:b/>
                <w:sz w:val="20"/>
                <w:szCs w:val="20"/>
              </w:rPr>
              <w:t xml:space="preserve">. </w:t>
            </w:r>
            <w:proofErr w:type="spellStart"/>
            <w:r w:rsidR="00481933" w:rsidRPr="00D90AA5">
              <w:rPr>
                <w:b/>
                <w:sz w:val="20"/>
                <w:szCs w:val="20"/>
              </w:rPr>
              <w:t>Sobreintegración</w:t>
            </w:r>
            <w:proofErr w:type="spellEnd"/>
          </w:p>
        </w:tc>
        <w:tc>
          <w:tcPr>
            <w:tcW w:w="7207" w:type="dxa"/>
          </w:tcPr>
          <w:p w14:paraId="3541F888" w14:textId="7400E6A4" w:rsidR="00481933" w:rsidRPr="00D90AA5" w:rsidRDefault="00481933" w:rsidP="000E2401">
            <w:pPr>
              <w:jc w:val="both"/>
              <w:rPr>
                <w:sz w:val="20"/>
                <w:szCs w:val="20"/>
              </w:rPr>
            </w:pPr>
            <w:r w:rsidRPr="00D90AA5">
              <w:rPr>
                <w:sz w:val="20"/>
                <w:szCs w:val="20"/>
              </w:rPr>
              <w:t xml:space="preserve">Significa el </w:t>
            </w:r>
            <w:r w:rsidR="00FE6B55" w:rsidRPr="00D90AA5">
              <w:rPr>
                <w:sz w:val="20"/>
                <w:szCs w:val="20"/>
              </w:rPr>
              <w:t>i</w:t>
            </w:r>
            <w:r w:rsidRPr="00D90AA5">
              <w:rPr>
                <w:sz w:val="20"/>
                <w:szCs w:val="20"/>
              </w:rPr>
              <w:t xml:space="preserve">mporte de las Facturas </w:t>
            </w:r>
            <w:r w:rsidR="00FE6B55" w:rsidRPr="00D90AA5">
              <w:rPr>
                <w:sz w:val="20"/>
                <w:szCs w:val="20"/>
              </w:rPr>
              <w:t>Fideicomiti</w:t>
            </w:r>
            <w:r w:rsidRPr="00D90AA5">
              <w:rPr>
                <w:sz w:val="20"/>
                <w:szCs w:val="20"/>
              </w:rPr>
              <w:t xml:space="preserve">das en exceso respecto del valor nominal </w:t>
            </w:r>
            <w:r w:rsidR="00230EFA" w:rsidRPr="00D90AA5">
              <w:rPr>
                <w:sz w:val="20"/>
                <w:szCs w:val="20"/>
              </w:rPr>
              <w:t xml:space="preserve">residual </w:t>
            </w:r>
            <w:r w:rsidRPr="00D90AA5">
              <w:rPr>
                <w:sz w:val="20"/>
                <w:szCs w:val="20"/>
              </w:rPr>
              <w:t xml:space="preserve">de los VDF </w:t>
            </w:r>
            <w:r w:rsidR="00230EFA" w:rsidRPr="00D90AA5">
              <w:rPr>
                <w:sz w:val="20"/>
                <w:szCs w:val="20"/>
              </w:rPr>
              <w:t>en circulación</w:t>
            </w:r>
            <w:r w:rsidRPr="00D90AA5">
              <w:rPr>
                <w:sz w:val="20"/>
                <w:szCs w:val="20"/>
              </w:rPr>
              <w:t xml:space="preserve">. La </w:t>
            </w:r>
            <w:proofErr w:type="spellStart"/>
            <w:r w:rsidRPr="00D90AA5">
              <w:rPr>
                <w:sz w:val="20"/>
                <w:szCs w:val="20"/>
              </w:rPr>
              <w:t>Sobreintegración</w:t>
            </w:r>
            <w:proofErr w:type="spellEnd"/>
            <w:r w:rsidRPr="00D90AA5">
              <w:rPr>
                <w:sz w:val="20"/>
                <w:szCs w:val="20"/>
              </w:rPr>
              <w:t xml:space="preserve"> inicial </w:t>
            </w:r>
            <w:r w:rsidR="00A91A9B" w:rsidRPr="00D90AA5">
              <w:rPr>
                <w:sz w:val="20"/>
                <w:szCs w:val="20"/>
              </w:rPr>
              <w:t xml:space="preserve">a la fecha de Análisis </w:t>
            </w:r>
            <w:r w:rsidR="006A40EA" w:rsidRPr="00D90AA5">
              <w:rPr>
                <w:sz w:val="20"/>
                <w:szCs w:val="20"/>
              </w:rPr>
              <w:t xml:space="preserve">Inicial </w:t>
            </w:r>
            <w:r w:rsidRPr="00D90AA5">
              <w:rPr>
                <w:sz w:val="20"/>
                <w:szCs w:val="20"/>
              </w:rPr>
              <w:t>es de U$</w:t>
            </w:r>
            <w:commentRangeStart w:id="5"/>
            <w:r w:rsidRPr="00D90AA5">
              <w:rPr>
                <w:sz w:val="20"/>
                <w:szCs w:val="20"/>
              </w:rPr>
              <w:t>S</w:t>
            </w:r>
            <w:commentRangeEnd w:id="5"/>
            <w:r w:rsidR="00504FC8">
              <w:rPr>
                <w:rStyle w:val="Refdecomentario"/>
                <w:rFonts w:ascii="Arial" w:hAnsi="Arial"/>
                <w:szCs w:val="20"/>
                <w:lang w:val="es-ES_tradnl"/>
              </w:rPr>
              <w:commentReference w:id="5"/>
            </w:r>
            <w:r w:rsidR="008B26D0" w:rsidRPr="00D90AA5">
              <w:rPr>
                <w:sz w:val="20"/>
                <w:szCs w:val="20"/>
              </w:rPr>
              <w:t xml:space="preserve"> </w:t>
            </w:r>
          </w:p>
          <w:p w14:paraId="3EE85B6A" w14:textId="77777777" w:rsidR="00481933" w:rsidRPr="00D90AA5" w:rsidDel="00066C87" w:rsidRDefault="00481933" w:rsidP="000E2401">
            <w:pPr>
              <w:autoSpaceDE w:val="0"/>
              <w:autoSpaceDN w:val="0"/>
              <w:adjustRightInd w:val="0"/>
              <w:jc w:val="both"/>
              <w:rPr>
                <w:sz w:val="20"/>
                <w:szCs w:val="20"/>
                <w:lang w:eastAsia="es-AR"/>
              </w:rPr>
            </w:pPr>
          </w:p>
        </w:tc>
      </w:tr>
      <w:tr w:rsidR="00481933" w:rsidRPr="00D90AA5" w:rsidDel="00066C87" w14:paraId="7B7C9AE9" w14:textId="77777777" w:rsidTr="000E2401">
        <w:trPr>
          <w:cantSplit/>
          <w:trHeight w:val="519"/>
        </w:trPr>
        <w:tc>
          <w:tcPr>
            <w:tcW w:w="2502" w:type="dxa"/>
          </w:tcPr>
          <w:p w14:paraId="0AAF826D" w14:textId="367ACA41" w:rsidR="00481933" w:rsidRPr="00D90AA5" w:rsidRDefault="002408B9" w:rsidP="000E2401">
            <w:pPr>
              <w:widowControl w:val="0"/>
              <w:suppressLineNumbers/>
              <w:suppressAutoHyphens/>
              <w:spacing w:line="240" w:lineRule="atLeast"/>
              <w:rPr>
                <w:b/>
                <w:sz w:val="20"/>
                <w:szCs w:val="20"/>
              </w:rPr>
            </w:pPr>
            <w:r>
              <w:rPr>
                <w:b/>
                <w:sz w:val="20"/>
                <w:szCs w:val="20"/>
              </w:rPr>
              <w:t>19</w:t>
            </w:r>
            <w:r w:rsidR="00504FC8">
              <w:rPr>
                <w:b/>
                <w:sz w:val="20"/>
                <w:szCs w:val="20"/>
              </w:rPr>
              <w:t xml:space="preserve">. </w:t>
            </w:r>
            <w:proofErr w:type="spellStart"/>
            <w:r w:rsidR="00481933" w:rsidRPr="00D90AA5">
              <w:rPr>
                <w:b/>
                <w:sz w:val="20"/>
                <w:szCs w:val="20"/>
              </w:rPr>
              <w:t>Sobreintegración</w:t>
            </w:r>
            <w:proofErr w:type="spellEnd"/>
            <w:r w:rsidR="00481933" w:rsidRPr="00D90AA5">
              <w:rPr>
                <w:b/>
                <w:sz w:val="20"/>
                <w:szCs w:val="20"/>
              </w:rPr>
              <w:t xml:space="preserve"> Mínima</w:t>
            </w:r>
          </w:p>
        </w:tc>
        <w:tc>
          <w:tcPr>
            <w:tcW w:w="7207" w:type="dxa"/>
          </w:tcPr>
          <w:p w14:paraId="0A2B3A16" w14:textId="40559F21" w:rsidR="00481933" w:rsidRPr="00D90AA5" w:rsidRDefault="00481933" w:rsidP="000E2401">
            <w:pPr>
              <w:jc w:val="both"/>
              <w:rPr>
                <w:sz w:val="20"/>
                <w:szCs w:val="20"/>
              </w:rPr>
            </w:pPr>
            <w:r w:rsidRPr="00D90AA5">
              <w:rPr>
                <w:sz w:val="20"/>
                <w:szCs w:val="20"/>
              </w:rPr>
              <w:t xml:space="preserve">Es la relación entre la </w:t>
            </w:r>
            <w:proofErr w:type="spellStart"/>
            <w:r w:rsidRPr="00D90AA5">
              <w:rPr>
                <w:sz w:val="20"/>
                <w:szCs w:val="20"/>
              </w:rPr>
              <w:t>Sobreintegración</w:t>
            </w:r>
            <w:proofErr w:type="spellEnd"/>
            <w:r w:rsidRPr="00D90AA5">
              <w:rPr>
                <w:sz w:val="20"/>
                <w:szCs w:val="20"/>
              </w:rPr>
              <w:t xml:space="preserve"> y el valor nominal </w:t>
            </w:r>
            <w:r w:rsidR="00230EFA" w:rsidRPr="00D90AA5">
              <w:rPr>
                <w:sz w:val="20"/>
                <w:szCs w:val="20"/>
              </w:rPr>
              <w:t xml:space="preserve">residual </w:t>
            </w:r>
            <w:r w:rsidRPr="00D90AA5">
              <w:rPr>
                <w:sz w:val="20"/>
                <w:szCs w:val="20"/>
              </w:rPr>
              <w:t xml:space="preserve">de los VDF, la cual deberá ser superior </w:t>
            </w:r>
            <w:commentRangeStart w:id="6"/>
            <w:r w:rsidRPr="00D90AA5">
              <w:rPr>
                <w:sz w:val="20"/>
                <w:szCs w:val="20"/>
              </w:rPr>
              <w:t>al</w:t>
            </w:r>
            <w:commentRangeEnd w:id="6"/>
            <w:r w:rsidR="007E2E8B">
              <w:rPr>
                <w:rStyle w:val="Refdecomentario"/>
                <w:rFonts w:ascii="Arial" w:hAnsi="Arial"/>
                <w:szCs w:val="20"/>
                <w:lang w:val="es-ES_tradnl"/>
              </w:rPr>
              <w:commentReference w:id="6"/>
            </w:r>
            <w:r w:rsidRPr="00D90AA5">
              <w:rPr>
                <w:sz w:val="20"/>
                <w:szCs w:val="20"/>
              </w:rPr>
              <w:t xml:space="preserve"> </w:t>
            </w:r>
            <w:r w:rsidR="007E2E8B">
              <w:rPr>
                <w:sz w:val="20"/>
                <w:szCs w:val="20"/>
              </w:rPr>
              <w:t>__</w:t>
            </w:r>
            <w:r w:rsidR="008455D2" w:rsidRPr="00D90AA5">
              <w:rPr>
                <w:sz w:val="20"/>
                <w:szCs w:val="20"/>
              </w:rPr>
              <w:t xml:space="preserve"> </w:t>
            </w:r>
            <w:r w:rsidRPr="00D90AA5">
              <w:rPr>
                <w:sz w:val="20"/>
                <w:szCs w:val="20"/>
              </w:rPr>
              <w:t>%.</w:t>
            </w:r>
          </w:p>
          <w:p w14:paraId="37601118" w14:textId="77777777" w:rsidR="00481933" w:rsidRPr="00D90AA5" w:rsidRDefault="00481933" w:rsidP="000E2401">
            <w:pPr>
              <w:jc w:val="both"/>
              <w:rPr>
                <w:sz w:val="20"/>
                <w:szCs w:val="20"/>
              </w:rPr>
            </w:pPr>
          </w:p>
        </w:tc>
      </w:tr>
      <w:tr w:rsidR="00481933" w:rsidRPr="00D90AA5" w14:paraId="1BB3D284" w14:textId="77777777" w:rsidTr="000E2401">
        <w:trPr>
          <w:cantSplit/>
          <w:trHeight w:val="851"/>
        </w:trPr>
        <w:tc>
          <w:tcPr>
            <w:tcW w:w="2502" w:type="dxa"/>
          </w:tcPr>
          <w:p w14:paraId="764FCAA3" w14:textId="3A2FE8F8" w:rsidR="00481933" w:rsidRPr="00C67013" w:rsidRDefault="002408B9" w:rsidP="000E2401">
            <w:pPr>
              <w:widowControl w:val="0"/>
              <w:suppressLineNumbers/>
              <w:suppressAutoHyphens/>
              <w:spacing w:line="240" w:lineRule="atLeast"/>
              <w:rPr>
                <w:b/>
                <w:sz w:val="20"/>
                <w:szCs w:val="20"/>
              </w:rPr>
            </w:pPr>
            <w:r>
              <w:rPr>
                <w:b/>
                <w:sz w:val="20"/>
                <w:szCs w:val="20"/>
              </w:rPr>
              <w:lastRenderedPageBreak/>
              <w:t>20</w:t>
            </w:r>
            <w:r w:rsidR="007E2E8B">
              <w:rPr>
                <w:b/>
                <w:sz w:val="20"/>
                <w:szCs w:val="20"/>
              </w:rPr>
              <w:t xml:space="preserve">. </w:t>
            </w:r>
            <w:r w:rsidR="001179B8" w:rsidRPr="00D90AA5">
              <w:rPr>
                <w:b/>
                <w:sz w:val="20"/>
                <w:szCs w:val="20"/>
              </w:rPr>
              <w:t xml:space="preserve">Período de Devengamiento. </w:t>
            </w:r>
          </w:p>
        </w:tc>
        <w:tc>
          <w:tcPr>
            <w:tcW w:w="7207" w:type="dxa"/>
          </w:tcPr>
          <w:p w14:paraId="6E1DC1ED" w14:textId="32210554" w:rsidR="00481933" w:rsidRPr="00D90AA5" w:rsidRDefault="00481933" w:rsidP="000E2401">
            <w:pPr>
              <w:pStyle w:val="notaalpie"/>
              <w:widowControl w:val="0"/>
              <w:suppressLineNumbers/>
              <w:suppressAutoHyphens/>
            </w:pPr>
            <w:r w:rsidRPr="00C67013">
              <w:rPr>
                <w:rFonts w:ascii="Times New Roman" w:hAnsi="Times New Roman"/>
              </w:rPr>
              <w:t xml:space="preserve">El devengamiento de los intereses se efectuará por Períodos de Devengamiento, que es </w:t>
            </w:r>
            <w:r w:rsidR="002E184F" w:rsidRPr="00D90AA5">
              <w:rPr>
                <w:rFonts w:ascii="Times New Roman" w:hAnsi="Times New Roman"/>
              </w:rPr>
              <w:t xml:space="preserve">(a) el correspondiente a los cuatro meses calendario anteriores a la primera y segunda Fecha de Pago de Servicios, y (b) </w:t>
            </w:r>
            <w:r w:rsidRPr="00D90AA5">
              <w:rPr>
                <w:rFonts w:ascii="Times New Roman" w:hAnsi="Times New Roman"/>
              </w:rPr>
              <w:t>el mes calendario anterior a cada Fecha de Pago de Servicios</w:t>
            </w:r>
            <w:r w:rsidR="002E184F" w:rsidRPr="00D90AA5">
              <w:rPr>
                <w:rFonts w:ascii="Times New Roman" w:hAnsi="Times New Roman"/>
              </w:rPr>
              <w:t xml:space="preserve"> posterior a la segunda</w:t>
            </w:r>
            <w:r w:rsidRPr="00D90AA5">
              <w:rPr>
                <w:rFonts w:ascii="Times New Roman" w:hAnsi="Times New Roman"/>
              </w:rPr>
              <w:t xml:space="preserve">. Para su cálculo se considerará como base un año de 360 días (12 meses de 30 </w:t>
            </w:r>
            <w:commentRangeStart w:id="7"/>
            <w:r w:rsidRPr="00D90AA5">
              <w:rPr>
                <w:rFonts w:ascii="Times New Roman" w:hAnsi="Times New Roman"/>
              </w:rPr>
              <w:t>días</w:t>
            </w:r>
            <w:commentRangeEnd w:id="7"/>
            <w:r w:rsidR="007E2E8B">
              <w:rPr>
                <w:rStyle w:val="Refdecomentario"/>
              </w:rPr>
              <w:commentReference w:id="7"/>
            </w:r>
            <w:r w:rsidRPr="00D90AA5">
              <w:rPr>
                <w:rFonts w:ascii="Times New Roman" w:hAnsi="Times New Roman"/>
              </w:rPr>
              <w:t>).</w:t>
            </w:r>
          </w:p>
          <w:p w14:paraId="06A5A4E6" w14:textId="77777777" w:rsidR="00481933" w:rsidRPr="00D90AA5" w:rsidRDefault="00481933" w:rsidP="000E2401">
            <w:pPr>
              <w:autoSpaceDE w:val="0"/>
              <w:autoSpaceDN w:val="0"/>
              <w:adjustRightInd w:val="0"/>
              <w:jc w:val="both"/>
              <w:rPr>
                <w:sz w:val="20"/>
                <w:szCs w:val="20"/>
                <w:lang w:eastAsia="es-AR"/>
              </w:rPr>
            </w:pPr>
          </w:p>
        </w:tc>
      </w:tr>
      <w:tr w:rsidR="001C4AC0" w:rsidRPr="00D90AA5" w14:paraId="28FC5180" w14:textId="77777777" w:rsidTr="000E2401">
        <w:trPr>
          <w:cantSplit/>
          <w:trHeight w:val="680"/>
        </w:trPr>
        <w:tc>
          <w:tcPr>
            <w:tcW w:w="2502" w:type="dxa"/>
          </w:tcPr>
          <w:p w14:paraId="53093687" w14:textId="666AB260" w:rsidR="001C4AC0" w:rsidRPr="00D90AA5" w:rsidRDefault="002408B9" w:rsidP="000E2401">
            <w:pPr>
              <w:widowControl w:val="0"/>
              <w:suppressLineNumbers/>
              <w:suppressAutoHyphens/>
              <w:spacing w:line="240" w:lineRule="atLeast"/>
              <w:rPr>
                <w:b/>
                <w:sz w:val="20"/>
                <w:szCs w:val="20"/>
              </w:rPr>
            </w:pPr>
            <w:r>
              <w:rPr>
                <w:b/>
                <w:sz w:val="20"/>
                <w:szCs w:val="20"/>
              </w:rPr>
              <w:t>21</w:t>
            </w:r>
            <w:r w:rsidR="007E2E8B">
              <w:rPr>
                <w:b/>
                <w:sz w:val="20"/>
                <w:szCs w:val="20"/>
              </w:rPr>
              <w:t xml:space="preserve">. </w:t>
            </w:r>
            <w:r w:rsidR="001C4AC0" w:rsidRPr="00D90AA5">
              <w:rPr>
                <w:b/>
                <w:sz w:val="20"/>
                <w:szCs w:val="20"/>
              </w:rPr>
              <w:t>Período</w:t>
            </w:r>
            <w:r w:rsidR="000D01AA" w:rsidRPr="00D90AA5">
              <w:rPr>
                <w:b/>
                <w:sz w:val="20"/>
                <w:szCs w:val="20"/>
              </w:rPr>
              <w:t>s</w:t>
            </w:r>
            <w:r w:rsidR="001C4AC0" w:rsidRPr="00D90AA5">
              <w:rPr>
                <w:b/>
                <w:sz w:val="20"/>
                <w:szCs w:val="20"/>
              </w:rPr>
              <w:t xml:space="preserve"> de </w:t>
            </w:r>
            <w:proofErr w:type="spellStart"/>
            <w:r w:rsidR="001C4AC0" w:rsidRPr="00D90AA5">
              <w:rPr>
                <w:b/>
                <w:sz w:val="20"/>
                <w:szCs w:val="20"/>
              </w:rPr>
              <w:t>Revolving</w:t>
            </w:r>
            <w:proofErr w:type="spellEnd"/>
            <w:r w:rsidR="001C4AC0" w:rsidRPr="00D90AA5">
              <w:rPr>
                <w:b/>
                <w:sz w:val="20"/>
                <w:szCs w:val="20"/>
              </w:rPr>
              <w:t xml:space="preserve"> Pleno</w:t>
            </w:r>
          </w:p>
        </w:tc>
        <w:tc>
          <w:tcPr>
            <w:tcW w:w="7207" w:type="dxa"/>
          </w:tcPr>
          <w:p w14:paraId="74D2679E" w14:textId="323C9D4B" w:rsidR="001C4AC0" w:rsidRPr="00D90AA5" w:rsidRDefault="001C4AC0" w:rsidP="001C4AC0">
            <w:pPr>
              <w:jc w:val="both"/>
              <w:rPr>
                <w:bCs/>
                <w:sz w:val="20"/>
                <w:szCs w:val="20"/>
              </w:rPr>
            </w:pPr>
            <w:r w:rsidRPr="00D90AA5">
              <w:rPr>
                <w:bCs/>
                <w:sz w:val="20"/>
                <w:szCs w:val="20"/>
              </w:rPr>
              <w:t>Son los que transcurren desde la Fecha de Corte hasta el día 30 del segundo mes anterior al que corresponde la Fecha de Pago del primer Servicio y desde el primer día del mes posterior a la Fecha de Pago del primer Servicio hasta el día 30 del segundo mes anterior al que corresponda la Fecha de Pago del segundo Servicio.</w:t>
            </w:r>
          </w:p>
          <w:p w14:paraId="237DB7AE" w14:textId="77777777" w:rsidR="001C4AC0" w:rsidRPr="00D90AA5" w:rsidRDefault="001C4AC0" w:rsidP="000E2401">
            <w:pPr>
              <w:jc w:val="both"/>
              <w:rPr>
                <w:sz w:val="20"/>
                <w:szCs w:val="20"/>
              </w:rPr>
            </w:pPr>
          </w:p>
        </w:tc>
      </w:tr>
      <w:tr w:rsidR="00481933" w:rsidRPr="00D90AA5" w14:paraId="704A382A" w14:textId="77777777" w:rsidTr="000E2401">
        <w:trPr>
          <w:cantSplit/>
          <w:trHeight w:val="680"/>
        </w:trPr>
        <w:tc>
          <w:tcPr>
            <w:tcW w:w="2502" w:type="dxa"/>
          </w:tcPr>
          <w:p w14:paraId="5C9FC5F4" w14:textId="0F1F6BD0" w:rsidR="00481933" w:rsidRPr="00D90AA5" w:rsidRDefault="002408B9" w:rsidP="000E2401">
            <w:pPr>
              <w:widowControl w:val="0"/>
              <w:suppressLineNumbers/>
              <w:suppressAutoHyphens/>
              <w:spacing w:line="240" w:lineRule="atLeast"/>
              <w:rPr>
                <w:b/>
                <w:sz w:val="20"/>
                <w:szCs w:val="20"/>
              </w:rPr>
            </w:pPr>
            <w:r>
              <w:rPr>
                <w:b/>
                <w:sz w:val="20"/>
                <w:szCs w:val="20"/>
              </w:rPr>
              <w:t>22</w:t>
            </w:r>
            <w:r w:rsidR="007E2E8B">
              <w:rPr>
                <w:b/>
                <w:sz w:val="20"/>
                <w:szCs w:val="20"/>
              </w:rPr>
              <w:t xml:space="preserve">. </w:t>
            </w:r>
            <w:r w:rsidR="00481933" w:rsidRPr="00D90AA5">
              <w:rPr>
                <w:b/>
                <w:sz w:val="20"/>
                <w:szCs w:val="20"/>
              </w:rPr>
              <w:t>Fecha de Análisis</w:t>
            </w:r>
          </w:p>
        </w:tc>
        <w:tc>
          <w:tcPr>
            <w:tcW w:w="7207" w:type="dxa"/>
          </w:tcPr>
          <w:p w14:paraId="7879FDB9" w14:textId="3F65BFEB" w:rsidR="00481933" w:rsidRPr="00D90AA5" w:rsidRDefault="00481933" w:rsidP="000E2401">
            <w:pPr>
              <w:jc w:val="both"/>
              <w:rPr>
                <w:b/>
                <w:sz w:val="20"/>
                <w:szCs w:val="20"/>
              </w:rPr>
            </w:pPr>
            <w:r w:rsidRPr="00D90AA5">
              <w:rPr>
                <w:sz w:val="20"/>
                <w:szCs w:val="20"/>
              </w:rPr>
              <w:t xml:space="preserve">Cada fecha en la cuales se seleccionan y analizan los créditos para el Fideicomiso. Inicialmente fue el </w:t>
            </w:r>
            <w:r w:rsidR="007E2E8B">
              <w:rPr>
                <w:sz w:val="20"/>
                <w:szCs w:val="20"/>
              </w:rPr>
              <w:t>___</w:t>
            </w:r>
            <w:r w:rsidRPr="00D90AA5">
              <w:rPr>
                <w:sz w:val="20"/>
                <w:szCs w:val="20"/>
              </w:rPr>
              <w:t xml:space="preserve">. Las siguientes surgen de lo estipulado en el </w:t>
            </w:r>
            <w:r w:rsidR="003E65BE" w:rsidRPr="00D90AA5">
              <w:rPr>
                <w:sz w:val="20"/>
                <w:szCs w:val="20"/>
              </w:rPr>
              <w:t>artículo 1.4</w:t>
            </w:r>
            <w:r w:rsidRPr="00D90AA5">
              <w:rPr>
                <w:sz w:val="20"/>
                <w:szCs w:val="20"/>
              </w:rPr>
              <w:t xml:space="preserve"> del Contrato Suplementario.</w:t>
            </w:r>
          </w:p>
          <w:p w14:paraId="7B07AB79" w14:textId="77777777" w:rsidR="00481933" w:rsidRPr="00D90AA5" w:rsidRDefault="00481933" w:rsidP="000E2401">
            <w:pPr>
              <w:pStyle w:val="notaalpie"/>
              <w:widowControl w:val="0"/>
              <w:suppressLineNumbers/>
              <w:suppressAutoHyphens/>
              <w:rPr>
                <w:rFonts w:ascii="Times New Roman" w:hAnsi="Times New Roman"/>
                <w:lang w:val="es-AR"/>
              </w:rPr>
            </w:pPr>
          </w:p>
        </w:tc>
      </w:tr>
      <w:tr w:rsidR="00481933" w:rsidRPr="00D90AA5" w14:paraId="00AEC0C4" w14:textId="77777777" w:rsidTr="000E2401">
        <w:trPr>
          <w:cantSplit/>
          <w:trHeight w:val="1819"/>
        </w:trPr>
        <w:tc>
          <w:tcPr>
            <w:tcW w:w="2502" w:type="dxa"/>
            <w:tcBorders>
              <w:bottom w:val="single" w:sz="4" w:space="0" w:color="auto"/>
            </w:tcBorders>
          </w:tcPr>
          <w:p w14:paraId="6A59A328" w14:textId="514188D1" w:rsidR="00481933" w:rsidRPr="00D90AA5" w:rsidRDefault="002408B9" w:rsidP="000E2401">
            <w:pPr>
              <w:suppressLineNumbers/>
              <w:rPr>
                <w:b/>
                <w:sz w:val="20"/>
              </w:rPr>
            </w:pPr>
            <w:r>
              <w:rPr>
                <w:b/>
                <w:sz w:val="20"/>
              </w:rPr>
              <w:t>23</w:t>
            </w:r>
            <w:r w:rsidR="007E2E8B">
              <w:rPr>
                <w:b/>
                <w:sz w:val="20"/>
              </w:rPr>
              <w:t xml:space="preserve">. </w:t>
            </w:r>
            <w:r w:rsidR="00481933" w:rsidRPr="00D90AA5">
              <w:rPr>
                <w:b/>
                <w:sz w:val="20"/>
              </w:rPr>
              <w:t>Monedas de emisión, suscripción, integración y pago:</w:t>
            </w:r>
          </w:p>
          <w:p w14:paraId="0BD53823" w14:textId="77777777" w:rsidR="00481933" w:rsidRPr="00D90AA5" w:rsidRDefault="00481933" w:rsidP="000E2401">
            <w:pPr>
              <w:suppressLineNumbers/>
              <w:rPr>
                <w:b/>
                <w:sz w:val="20"/>
              </w:rPr>
            </w:pPr>
          </w:p>
          <w:p w14:paraId="0DD73AD5" w14:textId="77777777" w:rsidR="00481933" w:rsidRPr="00D90AA5" w:rsidRDefault="00481933" w:rsidP="000E2401">
            <w:pPr>
              <w:widowControl w:val="0"/>
              <w:suppressLineNumbers/>
              <w:suppressAutoHyphens/>
              <w:spacing w:line="240" w:lineRule="atLeast"/>
              <w:rPr>
                <w:b/>
                <w:sz w:val="20"/>
                <w:szCs w:val="20"/>
              </w:rPr>
            </w:pPr>
          </w:p>
        </w:tc>
        <w:tc>
          <w:tcPr>
            <w:tcW w:w="7207" w:type="dxa"/>
            <w:tcBorders>
              <w:bottom w:val="single" w:sz="4" w:space="0" w:color="auto"/>
            </w:tcBorders>
          </w:tcPr>
          <w:p w14:paraId="14F8C5FD" w14:textId="20B08ACE" w:rsidR="00481933" w:rsidRPr="00D90AA5" w:rsidRDefault="00481933" w:rsidP="000E2401">
            <w:pPr>
              <w:suppressLineNumbers/>
              <w:jc w:val="both"/>
              <w:rPr>
                <w:sz w:val="20"/>
              </w:rPr>
            </w:pPr>
            <w:r w:rsidRPr="00C67013">
              <w:rPr>
                <w:sz w:val="20"/>
              </w:rPr>
              <w:t>Los VDF</w:t>
            </w:r>
            <w:r w:rsidR="000E5DB6" w:rsidRPr="00C67013">
              <w:rPr>
                <w:sz w:val="20"/>
              </w:rPr>
              <w:t xml:space="preserve"> </w:t>
            </w:r>
            <w:r w:rsidRPr="00D90AA5">
              <w:rPr>
                <w:sz w:val="20"/>
              </w:rPr>
              <w:t>se emitirán denominados en Dólares, pero la moneda de suscripción</w:t>
            </w:r>
            <w:r w:rsidR="00FE6B55" w:rsidRPr="00D90AA5">
              <w:rPr>
                <w:sz w:val="20"/>
              </w:rPr>
              <w:t xml:space="preserve"> e</w:t>
            </w:r>
            <w:r w:rsidRPr="00D90AA5">
              <w:rPr>
                <w:sz w:val="20"/>
              </w:rPr>
              <w:t xml:space="preserve"> integración y de pago será el peso</w:t>
            </w:r>
            <w:r w:rsidR="00FE6B55" w:rsidRPr="00D90AA5">
              <w:rPr>
                <w:sz w:val="20"/>
              </w:rPr>
              <w:t>,</w:t>
            </w:r>
            <w:r w:rsidRPr="00D90AA5">
              <w:rPr>
                <w:sz w:val="20"/>
              </w:rPr>
              <w:t xml:space="preserve"> conforme al Tipo de Cambio </w:t>
            </w:r>
            <w:r w:rsidR="00FE6B55" w:rsidRPr="00D90AA5">
              <w:rPr>
                <w:sz w:val="20"/>
              </w:rPr>
              <w:t>de Integración o al Tipo de Cambio de Pago</w:t>
            </w:r>
            <w:r w:rsidR="000F0CFE" w:rsidRPr="00D90AA5">
              <w:rPr>
                <w:sz w:val="20"/>
              </w:rPr>
              <w:t xml:space="preserve"> de Servicios</w:t>
            </w:r>
            <w:r w:rsidR="00FE6B55" w:rsidRPr="00D90AA5">
              <w:rPr>
                <w:sz w:val="20"/>
              </w:rPr>
              <w:t>, según el caso</w:t>
            </w:r>
            <w:r w:rsidRPr="00D90AA5">
              <w:rPr>
                <w:sz w:val="20"/>
              </w:rPr>
              <w:t>.</w:t>
            </w:r>
          </w:p>
          <w:p w14:paraId="26D02EC3" w14:textId="77777777" w:rsidR="00481933" w:rsidRPr="00D90AA5" w:rsidRDefault="00481933" w:rsidP="000E2401">
            <w:pPr>
              <w:ind w:right="751"/>
              <w:jc w:val="both"/>
              <w:rPr>
                <w:sz w:val="20"/>
              </w:rPr>
            </w:pPr>
          </w:p>
          <w:p w14:paraId="1B9EBCFE" w14:textId="1E795ED7" w:rsidR="00593486" w:rsidRPr="00C67013" w:rsidRDefault="00481933" w:rsidP="00593486">
            <w:pPr>
              <w:jc w:val="both"/>
              <w:rPr>
                <w:sz w:val="20"/>
              </w:rPr>
            </w:pPr>
            <w:r w:rsidRPr="00D90AA5">
              <w:rPr>
                <w:b/>
                <w:sz w:val="20"/>
              </w:rPr>
              <w:t xml:space="preserve">“Tipo de Cambio </w:t>
            </w:r>
            <w:r w:rsidR="00FE6B55" w:rsidRPr="00D90AA5">
              <w:rPr>
                <w:b/>
                <w:sz w:val="20"/>
              </w:rPr>
              <w:t>de Integración</w:t>
            </w:r>
            <w:r w:rsidRPr="00D90AA5">
              <w:rPr>
                <w:b/>
                <w:sz w:val="20"/>
              </w:rPr>
              <w:t>”:</w:t>
            </w:r>
            <w:r w:rsidR="00A551D1" w:rsidRPr="00D90AA5">
              <w:rPr>
                <w:b/>
                <w:sz w:val="20"/>
              </w:rPr>
              <w:t xml:space="preserve"> </w:t>
            </w:r>
            <w:r w:rsidRPr="00D90AA5">
              <w:rPr>
                <w:sz w:val="20"/>
              </w:rPr>
              <w:t xml:space="preserve">Significa el tipo de cambio </w:t>
            </w:r>
            <w:r w:rsidR="005D439D" w:rsidRPr="00D90AA5">
              <w:rPr>
                <w:sz w:val="20"/>
              </w:rPr>
              <w:t xml:space="preserve">comprador “divisa” publicado por el Banco de la Nación Argentina </w:t>
            </w:r>
            <w:r w:rsidRPr="00D90AA5">
              <w:rPr>
                <w:sz w:val="20"/>
              </w:rPr>
              <w:t xml:space="preserve">el Día Hábil inmediato anterior </w:t>
            </w:r>
            <w:r w:rsidR="00FE6B55" w:rsidRPr="00D90AA5">
              <w:rPr>
                <w:sz w:val="20"/>
              </w:rPr>
              <w:t>al cierre del Período de Colocación, a efectos de determinar el contravalor en pesos para la integración del precio de suscripción</w:t>
            </w:r>
            <w:r w:rsidR="00447479" w:rsidRPr="00D90AA5">
              <w:rPr>
                <w:sz w:val="20"/>
              </w:rPr>
              <w:t xml:space="preserve">. </w:t>
            </w:r>
            <w:r w:rsidR="00593486" w:rsidRPr="00D90AA5">
              <w:rPr>
                <w:sz w:val="20"/>
              </w:rPr>
              <w:t>El Tipo de Cambio de Integración será informado mediante el Aviso de Resultado de la Colocación que será publicado en el sitio web de la CNV (</w:t>
            </w:r>
            <w:hyperlink r:id="rId11" w:history="1">
              <w:r w:rsidR="00593486" w:rsidRPr="00D90AA5">
                <w:rPr>
                  <w:sz w:val="20"/>
                </w:rPr>
                <w:t>www.cnv.gob.ar</w:t>
              </w:r>
            </w:hyperlink>
            <w:r w:rsidR="00593486" w:rsidRPr="00D90AA5">
              <w:rPr>
                <w:sz w:val="20"/>
              </w:rPr>
              <w:t xml:space="preserve">) bajo el ítem “Fideicomisos Financieros” y los sistemas de información de los mercados donde negocien los Valores Fiduciarios (el “Aviso de Resultados”). </w:t>
            </w:r>
          </w:p>
          <w:p w14:paraId="33C5210F" w14:textId="36E1306B" w:rsidR="00593486" w:rsidRPr="00D90AA5" w:rsidRDefault="00593486" w:rsidP="00593486">
            <w:pPr>
              <w:suppressLineNumbers/>
              <w:ind w:right="38"/>
              <w:jc w:val="both"/>
              <w:rPr>
                <w:sz w:val="20"/>
              </w:rPr>
            </w:pPr>
            <w:r w:rsidRPr="00C67013">
              <w:rPr>
                <w:sz w:val="20"/>
              </w:rPr>
              <w:t>El Fiduciario tendrá a su cargo el cálculo del monto en pesos para integrar los Valore</w:t>
            </w:r>
            <w:r w:rsidRPr="00D90AA5">
              <w:rPr>
                <w:sz w:val="20"/>
              </w:rPr>
              <w:t>s Fiduciarios en función del Tipo de Cambio de Integración</w:t>
            </w:r>
          </w:p>
          <w:p w14:paraId="780B4C90" w14:textId="77777777" w:rsidR="00581835" w:rsidRPr="00D90AA5" w:rsidRDefault="00581835" w:rsidP="00593486">
            <w:pPr>
              <w:suppressLineNumbers/>
              <w:ind w:right="38"/>
              <w:jc w:val="both"/>
              <w:rPr>
                <w:sz w:val="20"/>
              </w:rPr>
            </w:pPr>
          </w:p>
          <w:p w14:paraId="2C920C8D" w14:textId="00AB89BE" w:rsidR="00090CEF" w:rsidRPr="00C67013" w:rsidRDefault="000F0CFE" w:rsidP="000E2401">
            <w:pPr>
              <w:suppressLineNumbers/>
              <w:ind w:right="38"/>
              <w:jc w:val="both"/>
            </w:pPr>
            <w:r w:rsidRPr="00D90AA5">
              <w:rPr>
                <w:b/>
                <w:sz w:val="20"/>
              </w:rPr>
              <w:t>“Tipo de Cambio de Pago de Servicios”:</w:t>
            </w:r>
            <w:r w:rsidR="00A551D1" w:rsidRPr="00D90AA5">
              <w:rPr>
                <w:b/>
                <w:sz w:val="20"/>
              </w:rPr>
              <w:t xml:space="preserve"> </w:t>
            </w:r>
            <w:r w:rsidR="00452256" w:rsidRPr="00D90AA5">
              <w:rPr>
                <w:sz w:val="20"/>
                <w:lang w:val="es-ES"/>
              </w:rPr>
              <w:t xml:space="preserve">El tipo de cambio aplicable que será informado por el Fiduciario a los inversores en el Aviso de Pago, correspondiente al promedio </w:t>
            </w:r>
            <w:r w:rsidR="00581835" w:rsidRPr="00D90AA5">
              <w:rPr>
                <w:sz w:val="20"/>
                <w:lang w:val="es-ES"/>
              </w:rPr>
              <w:t xml:space="preserve">ponderado de la sumatoria de las Cobranzas percibidas en pesos de los Deudores para cancelar las Facturas durante el Período de Recaudación </w:t>
            </w:r>
            <w:r w:rsidR="00452256" w:rsidRPr="00C67013">
              <w:rPr>
                <w:sz w:val="20"/>
                <w:lang w:val="es-ES"/>
              </w:rPr>
              <w:t xml:space="preserve">correspondiente, conforme surja del informe mensual del Agente de Control y </w:t>
            </w:r>
            <w:r w:rsidR="004B49BE" w:rsidRPr="00C67013">
              <w:rPr>
                <w:sz w:val="20"/>
                <w:lang w:val="es-ES"/>
              </w:rPr>
              <w:t>Revisión.</w:t>
            </w:r>
            <w:r w:rsidR="00581835" w:rsidRPr="00D90AA5">
              <w:t xml:space="preserve"> </w:t>
            </w:r>
            <w:r w:rsidR="00FC7622" w:rsidRPr="00D90AA5">
              <w:rPr>
                <w:sz w:val="20"/>
                <w:lang w:val="es-ES"/>
              </w:rPr>
              <w:t xml:space="preserve">El tipo de cambio surge del cociente entre dichas Cobranzas percibidas en pesos y su respectivo monto en dólares.   </w:t>
            </w:r>
          </w:p>
          <w:p w14:paraId="3A7508D9" w14:textId="77777777" w:rsidR="00581835" w:rsidRPr="00C67013" w:rsidRDefault="00581835" w:rsidP="000E2401">
            <w:pPr>
              <w:suppressLineNumbers/>
              <w:ind w:right="38"/>
              <w:jc w:val="both"/>
              <w:rPr>
                <w:b/>
                <w:sz w:val="20"/>
                <w:lang w:val="es-ES"/>
              </w:rPr>
            </w:pPr>
          </w:p>
          <w:p w14:paraId="79F8375D" w14:textId="4EA42A72" w:rsidR="000F0CFE" w:rsidRPr="00D90AA5" w:rsidRDefault="004B49BE" w:rsidP="000E2401">
            <w:pPr>
              <w:suppressLineNumbers/>
              <w:ind w:right="38"/>
              <w:jc w:val="both"/>
              <w:rPr>
                <w:sz w:val="20"/>
              </w:rPr>
            </w:pPr>
            <w:r w:rsidRPr="00D90AA5">
              <w:rPr>
                <w:b/>
                <w:sz w:val="20"/>
                <w:lang w:val="es-ES"/>
              </w:rPr>
              <w:t>“Período</w:t>
            </w:r>
            <w:r w:rsidR="00452256" w:rsidRPr="00D90AA5">
              <w:rPr>
                <w:b/>
                <w:sz w:val="20"/>
                <w:lang w:val="es-ES"/>
              </w:rPr>
              <w:t xml:space="preserve"> de Recaudación”:</w:t>
            </w:r>
            <w:r w:rsidR="00A551D1" w:rsidRPr="00D90AA5">
              <w:rPr>
                <w:b/>
                <w:sz w:val="20"/>
                <w:lang w:val="es-ES"/>
              </w:rPr>
              <w:t xml:space="preserve"> </w:t>
            </w:r>
            <w:r w:rsidR="00447479" w:rsidRPr="00D90AA5">
              <w:rPr>
                <w:bCs/>
                <w:sz w:val="20"/>
              </w:rPr>
              <w:t xml:space="preserve">significa </w:t>
            </w:r>
            <w:r w:rsidR="00447479" w:rsidRPr="00D90AA5">
              <w:rPr>
                <w:bCs/>
                <w:sz w:val="20"/>
                <w:lang w:val="es-ES"/>
              </w:rPr>
              <w:t xml:space="preserve">el </w:t>
            </w:r>
            <w:r w:rsidR="0015705C" w:rsidRPr="00D90AA5">
              <w:rPr>
                <w:bCs/>
                <w:sz w:val="20"/>
                <w:lang w:val="es-ES"/>
              </w:rPr>
              <w:t xml:space="preserve">mes </w:t>
            </w:r>
            <w:r w:rsidRPr="00D90AA5">
              <w:rPr>
                <w:bCs/>
                <w:sz w:val="20"/>
                <w:lang w:val="es-ES"/>
              </w:rPr>
              <w:t>calendario anterior</w:t>
            </w:r>
            <w:r w:rsidR="00447479" w:rsidRPr="00D90AA5">
              <w:rPr>
                <w:bCs/>
                <w:sz w:val="20"/>
                <w:lang w:val="es-ES"/>
              </w:rPr>
              <w:t xml:space="preserve"> a cada Fecha de Pago de Servicios en el que se considerarán las Cobranzas acreditadas en la Cuenta Especial para determinar el monto de Servicios a pagar</w:t>
            </w:r>
            <w:r w:rsidR="0015705C" w:rsidRPr="00D90AA5">
              <w:rPr>
                <w:bCs/>
                <w:sz w:val="20"/>
                <w:lang w:val="es-ES"/>
              </w:rPr>
              <w:t>.</w:t>
            </w:r>
          </w:p>
          <w:p w14:paraId="4270E930" w14:textId="77777777" w:rsidR="00481933" w:rsidRPr="00D90AA5" w:rsidRDefault="00481933" w:rsidP="00447479">
            <w:pPr>
              <w:suppressLineNumbers/>
              <w:ind w:right="38"/>
              <w:jc w:val="both"/>
              <w:rPr>
                <w:sz w:val="20"/>
                <w:szCs w:val="20"/>
              </w:rPr>
            </w:pPr>
          </w:p>
        </w:tc>
      </w:tr>
      <w:tr w:rsidR="00F137DA" w:rsidRPr="00D90AA5" w14:paraId="02A1EC3C" w14:textId="77777777" w:rsidTr="00F86F43">
        <w:trPr>
          <w:cantSplit/>
          <w:trHeight w:val="679"/>
        </w:trPr>
        <w:tc>
          <w:tcPr>
            <w:tcW w:w="2502" w:type="dxa"/>
          </w:tcPr>
          <w:p w14:paraId="61C5E76D" w14:textId="0A02E530" w:rsidR="00F137DA" w:rsidRPr="00D90AA5" w:rsidRDefault="002408B9" w:rsidP="000E2401">
            <w:pPr>
              <w:widowControl w:val="0"/>
              <w:suppressLineNumbers/>
              <w:suppressAutoHyphens/>
              <w:spacing w:line="240" w:lineRule="atLeast"/>
              <w:rPr>
                <w:b/>
                <w:sz w:val="20"/>
                <w:szCs w:val="20"/>
              </w:rPr>
            </w:pPr>
            <w:r>
              <w:rPr>
                <w:b/>
                <w:sz w:val="20"/>
                <w:szCs w:val="20"/>
              </w:rPr>
              <w:t>24</w:t>
            </w:r>
            <w:r w:rsidR="007E2E8B">
              <w:rPr>
                <w:b/>
                <w:sz w:val="20"/>
                <w:szCs w:val="20"/>
              </w:rPr>
              <w:t xml:space="preserve">. </w:t>
            </w:r>
            <w:r w:rsidR="00F137DA" w:rsidRPr="00D90AA5">
              <w:rPr>
                <w:b/>
                <w:sz w:val="20"/>
                <w:szCs w:val="20"/>
              </w:rPr>
              <w:t>Fecha de Corte</w:t>
            </w:r>
          </w:p>
        </w:tc>
        <w:tc>
          <w:tcPr>
            <w:tcW w:w="7207" w:type="dxa"/>
          </w:tcPr>
          <w:p w14:paraId="5B557305" w14:textId="28393934" w:rsidR="00F137DA" w:rsidRPr="00D90AA5" w:rsidRDefault="00F137DA" w:rsidP="00F137DA">
            <w:pPr>
              <w:widowControl w:val="0"/>
              <w:suppressLineNumbers/>
              <w:suppressAutoHyphens/>
              <w:spacing w:line="240" w:lineRule="atLeast"/>
              <w:jc w:val="both"/>
              <w:rPr>
                <w:sz w:val="20"/>
                <w:szCs w:val="20"/>
              </w:rPr>
            </w:pPr>
            <w:r w:rsidRPr="00D90AA5">
              <w:rPr>
                <w:sz w:val="20"/>
                <w:szCs w:val="20"/>
              </w:rPr>
              <w:t>Es la fecha a partir de la cual la Cobranza corresponde al Fideicomiso. Es la fecha de Integración.</w:t>
            </w:r>
          </w:p>
          <w:p w14:paraId="004C1A84" w14:textId="77777777" w:rsidR="00F137DA" w:rsidRPr="00D90AA5" w:rsidRDefault="00F137DA" w:rsidP="000E2401">
            <w:pPr>
              <w:widowControl w:val="0"/>
              <w:suppressLineNumbers/>
              <w:suppressAutoHyphens/>
              <w:spacing w:line="240" w:lineRule="atLeast"/>
              <w:jc w:val="both"/>
              <w:rPr>
                <w:sz w:val="20"/>
                <w:szCs w:val="20"/>
              </w:rPr>
            </w:pPr>
          </w:p>
        </w:tc>
      </w:tr>
      <w:tr w:rsidR="00481933" w:rsidRPr="00D90AA5" w14:paraId="002FAB0F" w14:textId="77777777" w:rsidTr="000E2401">
        <w:trPr>
          <w:cantSplit/>
          <w:trHeight w:val="1255"/>
        </w:trPr>
        <w:tc>
          <w:tcPr>
            <w:tcW w:w="2502" w:type="dxa"/>
          </w:tcPr>
          <w:p w14:paraId="4B25C903" w14:textId="21514BAD" w:rsidR="00481933" w:rsidRPr="00C67013" w:rsidRDefault="002408B9" w:rsidP="000E2401">
            <w:pPr>
              <w:widowControl w:val="0"/>
              <w:suppressLineNumbers/>
              <w:suppressAutoHyphens/>
              <w:spacing w:line="240" w:lineRule="atLeast"/>
              <w:rPr>
                <w:b/>
                <w:sz w:val="20"/>
                <w:szCs w:val="20"/>
              </w:rPr>
            </w:pPr>
            <w:r>
              <w:rPr>
                <w:b/>
                <w:sz w:val="20"/>
                <w:szCs w:val="20"/>
              </w:rPr>
              <w:t>25</w:t>
            </w:r>
            <w:r w:rsidR="007E2E8B">
              <w:rPr>
                <w:b/>
                <w:sz w:val="20"/>
                <w:szCs w:val="20"/>
              </w:rPr>
              <w:t xml:space="preserve">. </w:t>
            </w:r>
            <w:r w:rsidR="00481933" w:rsidRPr="00D90AA5">
              <w:rPr>
                <w:b/>
                <w:sz w:val="20"/>
                <w:szCs w:val="20"/>
              </w:rPr>
              <w:t xml:space="preserve">Forma en que están representados los Valores de </w:t>
            </w:r>
            <w:r w:rsidR="00481933" w:rsidRPr="00C67013">
              <w:rPr>
                <w:b/>
                <w:sz w:val="20"/>
                <w:szCs w:val="20"/>
              </w:rPr>
              <w:t>Deuda Fiduciaria</w:t>
            </w:r>
          </w:p>
        </w:tc>
        <w:tc>
          <w:tcPr>
            <w:tcW w:w="7207" w:type="dxa"/>
          </w:tcPr>
          <w:p w14:paraId="039D5F92" w14:textId="77777777" w:rsidR="00481933" w:rsidRPr="00C67013" w:rsidRDefault="00481933" w:rsidP="000E2401">
            <w:pPr>
              <w:widowControl w:val="0"/>
              <w:suppressLineNumbers/>
              <w:suppressAutoHyphens/>
              <w:spacing w:line="240" w:lineRule="atLeast"/>
              <w:jc w:val="both"/>
              <w:rPr>
                <w:sz w:val="20"/>
                <w:szCs w:val="20"/>
              </w:rPr>
            </w:pPr>
            <w:r w:rsidRPr="00C67013">
              <w:rPr>
                <w:sz w:val="20"/>
                <w:szCs w:val="20"/>
              </w:rPr>
              <w:t>Los VDF estarán documentados en un certificado g</w:t>
            </w:r>
            <w:r w:rsidRPr="00D90AA5">
              <w:rPr>
                <w:sz w:val="20"/>
                <w:szCs w:val="20"/>
              </w:rPr>
              <w:t>lobal permanente, a ser depositado en Caja de Valores S.A. Los Beneficiarios renuncian al derecho a exigir la entrega de láminas individuales. Las transferencias se realizarán dentro del sistema de depósito colectivo, conforme a la ley 20.643, encontrándose habilitada la Caja de Valores S. A. para cobrar aranceles de los depositantes, que éstos podrán trasladar a los Beneficiarios.</w:t>
            </w:r>
          </w:p>
          <w:p w14:paraId="47681D0F" w14:textId="77777777" w:rsidR="00481933" w:rsidRPr="00C67013" w:rsidRDefault="00481933" w:rsidP="000E2401">
            <w:pPr>
              <w:widowControl w:val="0"/>
              <w:suppressLineNumbers/>
              <w:suppressAutoHyphens/>
              <w:spacing w:line="240" w:lineRule="atLeast"/>
              <w:jc w:val="both"/>
              <w:rPr>
                <w:sz w:val="20"/>
                <w:szCs w:val="20"/>
              </w:rPr>
            </w:pPr>
          </w:p>
        </w:tc>
      </w:tr>
      <w:tr w:rsidR="00481933" w:rsidRPr="00D90AA5" w14:paraId="0DCF7959" w14:textId="77777777" w:rsidTr="001364B2">
        <w:trPr>
          <w:cantSplit/>
          <w:trHeight w:val="1768"/>
        </w:trPr>
        <w:tc>
          <w:tcPr>
            <w:tcW w:w="2502" w:type="dxa"/>
          </w:tcPr>
          <w:p w14:paraId="3FC2136D" w14:textId="6DEB6751" w:rsidR="00481933" w:rsidRPr="00D90AA5" w:rsidRDefault="002408B9" w:rsidP="000E2401">
            <w:pPr>
              <w:widowControl w:val="0"/>
              <w:suppressLineNumbers/>
              <w:suppressAutoHyphens/>
              <w:spacing w:line="240" w:lineRule="atLeast"/>
              <w:rPr>
                <w:b/>
                <w:sz w:val="20"/>
                <w:szCs w:val="20"/>
              </w:rPr>
            </w:pPr>
            <w:r>
              <w:rPr>
                <w:b/>
                <w:sz w:val="20"/>
                <w:szCs w:val="20"/>
              </w:rPr>
              <w:t>26</w:t>
            </w:r>
            <w:r w:rsidR="007E2E8B">
              <w:rPr>
                <w:b/>
                <w:sz w:val="20"/>
                <w:szCs w:val="20"/>
              </w:rPr>
              <w:t xml:space="preserve">. </w:t>
            </w:r>
            <w:r w:rsidR="00452256" w:rsidRPr="00D90AA5">
              <w:rPr>
                <w:b/>
                <w:sz w:val="20"/>
                <w:szCs w:val="20"/>
              </w:rPr>
              <w:t xml:space="preserve">Colocación. </w:t>
            </w:r>
            <w:r w:rsidR="00481933" w:rsidRPr="00D90AA5">
              <w:rPr>
                <w:b/>
                <w:sz w:val="20"/>
                <w:szCs w:val="20"/>
              </w:rPr>
              <w:t>Precio de Suscripción.</w:t>
            </w:r>
          </w:p>
          <w:p w14:paraId="13700030" w14:textId="77777777" w:rsidR="00481933" w:rsidRPr="00D90AA5" w:rsidRDefault="00481933" w:rsidP="000E2401">
            <w:pPr>
              <w:widowControl w:val="0"/>
              <w:suppressLineNumbers/>
              <w:suppressAutoHyphens/>
              <w:spacing w:line="240" w:lineRule="atLeast"/>
              <w:rPr>
                <w:b/>
                <w:sz w:val="20"/>
                <w:szCs w:val="20"/>
              </w:rPr>
            </w:pPr>
          </w:p>
          <w:p w14:paraId="4AC3ED28" w14:textId="77777777" w:rsidR="00481933" w:rsidRPr="00D90AA5" w:rsidRDefault="00481933" w:rsidP="000E2401">
            <w:pPr>
              <w:widowControl w:val="0"/>
              <w:suppressLineNumbers/>
              <w:suppressAutoHyphens/>
              <w:spacing w:line="240" w:lineRule="atLeast"/>
              <w:rPr>
                <w:b/>
                <w:sz w:val="20"/>
                <w:szCs w:val="20"/>
              </w:rPr>
            </w:pPr>
          </w:p>
          <w:p w14:paraId="596DE874" w14:textId="77777777" w:rsidR="00481933" w:rsidRPr="00D90AA5" w:rsidRDefault="00481933" w:rsidP="000E2401">
            <w:pPr>
              <w:widowControl w:val="0"/>
              <w:suppressLineNumbers/>
              <w:suppressAutoHyphens/>
              <w:spacing w:line="240" w:lineRule="atLeast"/>
              <w:rPr>
                <w:b/>
                <w:sz w:val="20"/>
                <w:szCs w:val="20"/>
              </w:rPr>
            </w:pPr>
          </w:p>
          <w:p w14:paraId="687B8A92" w14:textId="77777777" w:rsidR="00481933" w:rsidRPr="00D90AA5" w:rsidRDefault="00481933" w:rsidP="000E2401">
            <w:pPr>
              <w:widowControl w:val="0"/>
              <w:suppressLineNumbers/>
              <w:suppressAutoHyphens/>
              <w:spacing w:line="240" w:lineRule="atLeast"/>
              <w:rPr>
                <w:b/>
                <w:sz w:val="20"/>
                <w:szCs w:val="20"/>
              </w:rPr>
            </w:pPr>
          </w:p>
        </w:tc>
        <w:tc>
          <w:tcPr>
            <w:tcW w:w="7207" w:type="dxa"/>
          </w:tcPr>
          <w:p w14:paraId="667FFA79" w14:textId="2F32919E" w:rsidR="00452256" w:rsidRPr="00C67013" w:rsidRDefault="00481933" w:rsidP="001364B2">
            <w:pPr>
              <w:pStyle w:val="notaalpie"/>
              <w:widowControl w:val="0"/>
              <w:suppressAutoHyphens/>
              <w:rPr>
                <w:rFonts w:ascii="Times New Roman" w:hAnsi="Times New Roman"/>
              </w:rPr>
            </w:pPr>
            <w:r w:rsidRPr="00D90AA5">
              <w:rPr>
                <w:rFonts w:ascii="Times New Roman" w:hAnsi="Times New Roman"/>
                <w:lang w:val="es-AR"/>
              </w:rPr>
              <w:t xml:space="preserve">Los VDF serán colocados por </w:t>
            </w:r>
            <w:r w:rsidR="007E2E8B">
              <w:rPr>
                <w:rFonts w:ascii="Times New Roman" w:hAnsi="Times New Roman"/>
                <w:lang w:val="es-AR"/>
              </w:rPr>
              <w:t>___</w:t>
            </w:r>
            <w:r w:rsidRPr="00D90AA5">
              <w:rPr>
                <w:rFonts w:ascii="Times New Roman" w:hAnsi="Times New Roman"/>
                <w:lang w:val="es-AR"/>
              </w:rPr>
              <w:t xml:space="preserve"> </w:t>
            </w:r>
            <w:r w:rsidR="002936CE" w:rsidRPr="00D90AA5">
              <w:rPr>
                <w:rFonts w:ascii="Times New Roman" w:hAnsi="Times New Roman"/>
                <w:lang w:val="es-AR"/>
              </w:rPr>
              <w:t xml:space="preserve">a través del sistema BYMA Primarias bajo la modalidad “ciega”. </w:t>
            </w:r>
            <w:r w:rsidR="00452256" w:rsidRPr="00D90AA5">
              <w:rPr>
                <w:rFonts w:ascii="Times New Roman" w:hAnsi="Times New Roman"/>
                <w:lang w:val="es-AR"/>
              </w:rPr>
              <w:t>Los mismos serán adjudicados a</w:t>
            </w:r>
            <w:r w:rsidR="008A0AC3" w:rsidRPr="00D90AA5">
              <w:rPr>
                <w:rFonts w:ascii="Times New Roman" w:hAnsi="Times New Roman"/>
                <w:lang w:val="es-AR"/>
              </w:rPr>
              <w:t xml:space="preserve"> </w:t>
            </w:r>
            <w:r w:rsidR="00DE75BB" w:rsidRPr="00D90AA5">
              <w:rPr>
                <w:rFonts w:ascii="Times New Roman" w:hAnsi="Times New Roman"/>
                <w:lang w:val="es-AR"/>
              </w:rPr>
              <w:t>l</w:t>
            </w:r>
            <w:r w:rsidR="008A0AC3" w:rsidRPr="00D90AA5">
              <w:rPr>
                <w:rFonts w:ascii="Times New Roman" w:hAnsi="Times New Roman"/>
                <w:lang w:val="es-AR"/>
              </w:rPr>
              <w:t>a Tasa</w:t>
            </w:r>
            <w:r w:rsidR="00452256" w:rsidRPr="00D90AA5">
              <w:rPr>
                <w:rFonts w:ascii="Times New Roman" w:hAnsi="Times New Roman"/>
                <w:lang w:val="es-AR"/>
              </w:rPr>
              <w:t xml:space="preserve"> de Corte que determine el Fiduciario de común acuerdo con el Fiduciante, como resultado de aplicar el procedimiento denominado “subasta holandesa modificada”</w:t>
            </w:r>
            <w:r w:rsidR="008A0AC3" w:rsidRPr="00D90AA5">
              <w:rPr>
                <w:rFonts w:ascii="Times New Roman" w:hAnsi="Times New Roman"/>
                <w:lang w:val="es-AR"/>
              </w:rPr>
              <w:t>, por lo que el precio podrá ser a la par, bajo o sobre la par</w:t>
            </w:r>
            <w:r w:rsidR="00452256" w:rsidRPr="00D90AA5">
              <w:rPr>
                <w:rFonts w:ascii="Times New Roman" w:hAnsi="Times New Roman"/>
                <w:lang w:val="es-AR"/>
              </w:rPr>
              <w:t>. Ver más detalles en el Capítulo</w:t>
            </w:r>
            <w:r w:rsidR="00452256" w:rsidRPr="00D90AA5">
              <w:rPr>
                <w:rFonts w:ascii="Times New Roman" w:hAnsi="Times New Roman"/>
              </w:rPr>
              <w:t xml:space="preserve"> “</w:t>
            </w:r>
            <w:r w:rsidR="00452256" w:rsidRPr="00D90AA5">
              <w:rPr>
                <w:rFonts w:ascii="Times New Roman" w:hAnsi="Times New Roman"/>
                <w:i/>
              </w:rPr>
              <w:t>PROCEDIMIENTO DE COLOCACIÓN Y NEGOCIACIÓN DE LOS VALORES FIDUCIARIOS</w:t>
            </w:r>
            <w:r w:rsidR="00452256" w:rsidRPr="00C67013">
              <w:rPr>
                <w:rFonts w:ascii="Times New Roman" w:hAnsi="Times New Roman"/>
              </w:rPr>
              <w:t>”.</w:t>
            </w:r>
          </w:p>
          <w:p w14:paraId="56B8E253" w14:textId="14086BB6" w:rsidR="00481933" w:rsidRPr="00D90AA5" w:rsidRDefault="00481933" w:rsidP="000E2401">
            <w:pPr>
              <w:widowControl w:val="0"/>
              <w:suppressLineNumbers/>
              <w:suppressAutoHyphens/>
              <w:jc w:val="both"/>
              <w:rPr>
                <w:sz w:val="20"/>
                <w:szCs w:val="20"/>
              </w:rPr>
            </w:pPr>
          </w:p>
        </w:tc>
      </w:tr>
      <w:tr w:rsidR="00481933" w:rsidRPr="00D90AA5" w14:paraId="4683F510" w14:textId="77777777" w:rsidTr="000E2401">
        <w:trPr>
          <w:cantSplit/>
          <w:trHeight w:val="1270"/>
        </w:trPr>
        <w:tc>
          <w:tcPr>
            <w:tcW w:w="2502" w:type="dxa"/>
          </w:tcPr>
          <w:p w14:paraId="6B6F1416" w14:textId="2667F980" w:rsidR="00481933" w:rsidRPr="00C67013" w:rsidRDefault="002408B9" w:rsidP="000E2401">
            <w:pPr>
              <w:widowControl w:val="0"/>
              <w:suppressLineNumbers/>
              <w:suppressAutoHyphens/>
              <w:spacing w:line="240" w:lineRule="atLeast"/>
              <w:rPr>
                <w:b/>
                <w:sz w:val="20"/>
                <w:szCs w:val="20"/>
              </w:rPr>
            </w:pPr>
            <w:r>
              <w:rPr>
                <w:b/>
                <w:sz w:val="20"/>
                <w:szCs w:val="20"/>
              </w:rPr>
              <w:t>27</w:t>
            </w:r>
            <w:r w:rsidR="004F2D28">
              <w:rPr>
                <w:b/>
                <w:sz w:val="20"/>
                <w:szCs w:val="20"/>
              </w:rPr>
              <w:t xml:space="preserve">. </w:t>
            </w:r>
            <w:r w:rsidR="00481933" w:rsidRPr="00D90AA5">
              <w:rPr>
                <w:b/>
                <w:sz w:val="20"/>
                <w:szCs w:val="20"/>
              </w:rPr>
              <w:t>Monto mínimo de suscripción y unidad mínima de negociación</w:t>
            </w:r>
          </w:p>
          <w:p w14:paraId="1F627825" w14:textId="77777777" w:rsidR="00481933" w:rsidRPr="00D90AA5" w:rsidRDefault="00481933" w:rsidP="000E2401">
            <w:pPr>
              <w:widowControl w:val="0"/>
              <w:suppressLineNumbers/>
              <w:suppressAutoHyphens/>
              <w:spacing w:line="240" w:lineRule="atLeast"/>
              <w:rPr>
                <w:b/>
                <w:sz w:val="20"/>
                <w:szCs w:val="20"/>
              </w:rPr>
            </w:pPr>
          </w:p>
        </w:tc>
        <w:tc>
          <w:tcPr>
            <w:tcW w:w="7207" w:type="dxa"/>
          </w:tcPr>
          <w:p w14:paraId="1FA7E980" w14:textId="6F2B6950" w:rsidR="00481933" w:rsidRPr="00D90AA5" w:rsidRDefault="00481933" w:rsidP="000E2401">
            <w:pPr>
              <w:widowControl w:val="0"/>
              <w:suppressLineNumbers/>
              <w:suppressAutoHyphens/>
              <w:jc w:val="both"/>
              <w:rPr>
                <w:sz w:val="20"/>
                <w:szCs w:val="20"/>
              </w:rPr>
            </w:pPr>
            <w:r w:rsidRPr="00C67013">
              <w:rPr>
                <w:sz w:val="20"/>
                <w:szCs w:val="20"/>
              </w:rPr>
              <w:t>Las ofertas de suscripción relativas a los Valores de Deuda Fiduciaria deberán ser iguales o superiores a la suma de V/N U$S 100 (</w:t>
            </w:r>
            <w:r w:rsidR="00FB7FD6" w:rsidRPr="00C67013">
              <w:rPr>
                <w:sz w:val="20"/>
                <w:szCs w:val="20"/>
              </w:rPr>
              <w:t>cien</w:t>
            </w:r>
            <w:r w:rsidRPr="00D90AA5">
              <w:rPr>
                <w:sz w:val="20"/>
                <w:szCs w:val="20"/>
              </w:rPr>
              <w:t xml:space="preserve"> Dólares)</w:t>
            </w:r>
            <w:r w:rsidR="00263584" w:rsidRPr="00D90AA5">
              <w:rPr>
                <w:sz w:val="20"/>
                <w:szCs w:val="20"/>
              </w:rPr>
              <w:t xml:space="preserve"> </w:t>
            </w:r>
            <w:r w:rsidRPr="00D90AA5">
              <w:rPr>
                <w:sz w:val="20"/>
                <w:szCs w:val="20"/>
              </w:rPr>
              <w:t>y múltiplos de U$S 1 (un Dólar).</w:t>
            </w:r>
          </w:p>
          <w:p w14:paraId="07B5A6F9" w14:textId="77777777" w:rsidR="00481933" w:rsidRPr="00D90AA5" w:rsidRDefault="00481933" w:rsidP="000E2401">
            <w:pPr>
              <w:widowControl w:val="0"/>
              <w:suppressLineNumbers/>
              <w:suppressAutoHyphens/>
              <w:jc w:val="both"/>
              <w:rPr>
                <w:sz w:val="20"/>
                <w:szCs w:val="20"/>
              </w:rPr>
            </w:pPr>
          </w:p>
          <w:p w14:paraId="5ED35F45" w14:textId="77777777" w:rsidR="00481933" w:rsidRPr="00D90AA5" w:rsidRDefault="00481933" w:rsidP="000E2401">
            <w:pPr>
              <w:widowControl w:val="0"/>
              <w:suppressLineNumbers/>
              <w:suppressAutoHyphens/>
              <w:jc w:val="both"/>
              <w:rPr>
                <w:sz w:val="20"/>
                <w:szCs w:val="20"/>
              </w:rPr>
            </w:pPr>
            <w:r w:rsidRPr="00D90AA5">
              <w:rPr>
                <w:sz w:val="20"/>
                <w:szCs w:val="20"/>
              </w:rPr>
              <w:t>La unidad mínima de negociación será de U$S 1 (un Dólar)</w:t>
            </w:r>
          </w:p>
          <w:p w14:paraId="6DFAB879" w14:textId="77777777" w:rsidR="00481933" w:rsidRPr="00D90AA5" w:rsidRDefault="00481933" w:rsidP="000E2401">
            <w:pPr>
              <w:widowControl w:val="0"/>
              <w:suppressLineNumbers/>
              <w:suppressAutoHyphens/>
              <w:jc w:val="both"/>
              <w:rPr>
                <w:sz w:val="20"/>
                <w:szCs w:val="20"/>
              </w:rPr>
            </w:pPr>
          </w:p>
        </w:tc>
      </w:tr>
      <w:tr w:rsidR="00481933" w:rsidRPr="00D90AA5" w14:paraId="3DED2448" w14:textId="77777777" w:rsidTr="000E2401">
        <w:tblPrEx>
          <w:tblCellMar>
            <w:left w:w="71" w:type="dxa"/>
            <w:right w:w="71" w:type="dxa"/>
          </w:tblCellMar>
        </w:tblPrEx>
        <w:trPr>
          <w:cantSplit/>
        </w:trPr>
        <w:tc>
          <w:tcPr>
            <w:tcW w:w="2502" w:type="dxa"/>
          </w:tcPr>
          <w:p w14:paraId="4F5D516F" w14:textId="2C95A476" w:rsidR="00481933" w:rsidRPr="00D90AA5" w:rsidRDefault="002408B9" w:rsidP="00F137DA">
            <w:pPr>
              <w:widowControl w:val="0"/>
              <w:suppressLineNumbers/>
              <w:suppressAutoHyphens/>
              <w:spacing w:line="240" w:lineRule="atLeast"/>
              <w:rPr>
                <w:b/>
                <w:sz w:val="20"/>
                <w:szCs w:val="20"/>
              </w:rPr>
            </w:pPr>
            <w:r>
              <w:rPr>
                <w:b/>
                <w:sz w:val="20"/>
                <w:szCs w:val="20"/>
              </w:rPr>
              <w:lastRenderedPageBreak/>
              <w:t>28</w:t>
            </w:r>
            <w:r w:rsidR="004F2D28">
              <w:rPr>
                <w:b/>
                <w:sz w:val="20"/>
                <w:szCs w:val="20"/>
              </w:rPr>
              <w:t xml:space="preserve">. </w:t>
            </w:r>
            <w:r w:rsidR="00481933" w:rsidRPr="00D90AA5">
              <w:rPr>
                <w:b/>
                <w:sz w:val="20"/>
                <w:szCs w:val="20"/>
              </w:rPr>
              <w:t xml:space="preserve">Fecha de Emisión </w:t>
            </w:r>
            <w:r w:rsidR="00F137DA" w:rsidRPr="00D90AA5">
              <w:rPr>
                <w:b/>
                <w:sz w:val="20"/>
                <w:szCs w:val="20"/>
              </w:rPr>
              <w:t>e</w:t>
            </w:r>
            <w:r w:rsidR="00481933" w:rsidRPr="00D90AA5">
              <w:rPr>
                <w:b/>
                <w:sz w:val="20"/>
                <w:szCs w:val="20"/>
              </w:rPr>
              <w:t xml:space="preserve"> </w:t>
            </w:r>
            <w:r w:rsidR="00F137DA" w:rsidRPr="00D90AA5">
              <w:rPr>
                <w:b/>
                <w:sz w:val="20"/>
                <w:szCs w:val="20"/>
              </w:rPr>
              <w:t>Integr</w:t>
            </w:r>
            <w:r w:rsidR="00481933" w:rsidRPr="00D90AA5">
              <w:rPr>
                <w:b/>
                <w:sz w:val="20"/>
                <w:szCs w:val="20"/>
              </w:rPr>
              <w:t>ación</w:t>
            </w:r>
          </w:p>
        </w:tc>
        <w:tc>
          <w:tcPr>
            <w:tcW w:w="7207" w:type="dxa"/>
          </w:tcPr>
          <w:p w14:paraId="4A09FB5F" w14:textId="23B2D50D" w:rsidR="00481933" w:rsidRPr="00D90AA5" w:rsidRDefault="00481933" w:rsidP="000E2401">
            <w:pPr>
              <w:widowControl w:val="0"/>
              <w:suppressLineNumbers/>
              <w:suppressAutoHyphens/>
              <w:spacing w:line="240" w:lineRule="atLeast"/>
              <w:jc w:val="both"/>
              <w:rPr>
                <w:sz w:val="20"/>
                <w:szCs w:val="20"/>
              </w:rPr>
            </w:pPr>
            <w:r w:rsidRPr="00D90AA5">
              <w:rPr>
                <w:sz w:val="20"/>
                <w:szCs w:val="20"/>
              </w:rPr>
              <w:t>Será la fecha que se indique en el aviso de colocación.</w:t>
            </w:r>
            <w:r w:rsidRPr="00D90AA5">
              <w:rPr>
                <w:color w:val="000000"/>
                <w:sz w:val="20"/>
                <w:szCs w:val="20"/>
              </w:rPr>
              <w:t xml:space="preserve"> Al finalizar el Período de Colocación se comunicará a los interesados el </w:t>
            </w:r>
            <w:r w:rsidRPr="00D90AA5">
              <w:rPr>
                <w:sz w:val="20"/>
                <w:szCs w:val="20"/>
              </w:rPr>
              <w:t xml:space="preserve">valor nominal a emitir, </w:t>
            </w:r>
            <w:r w:rsidRPr="00D90AA5">
              <w:rPr>
                <w:color w:val="000000"/>
                <w:sz w:val="20"/>
                <w:szCs w:val="20"/>
              </w:rPr>
              <w:t xml:space="preserve">el precio de suscripción y las cantidades asignadas, quedando perfeccionado el contrato de suscripción conforme con dichos parámetros, con aquellos inversores que hubieran ofrecido un precio igual o mayor al Precio de Corte, debiendo pagarse el precio de suscripción </w:t>
            </w:r>
            <w:r w:rsidR="00C865F0" w:rsidRPr="00D90AA5">
              <w:rPr>
                <w:color w:val="000000"/>
                <w:sz w:val="20"/>
                <w:szCs w:val="20"/>
              </w:rPr>
              <w:t>en la fecha que se indique en el aviso de colocación</w:t>
            </w:r>
            <w:r w:rsidRPr="00D90AA5">
              <w:rPr>
                <w:color w:val="000000"/>
                <w:sz w:val="20"/>
                <w:szCs w:val="20"/>
              </w:rPr>
              <w:t>.</w:t>
            </w:r>
          </w:p>
          <w:p w14:paraId="7BFD4280" w14:textId="77777777" w:rsidR="00481933" w:rsidRPr="00D90AA5" w:rsidRDefault="00481933" w:rsidP="000E2401">
            <w:pPr>
              <w:widowControl w:val="0"/>
              <w:suppressLineNumbers/>
              <w:suppressAutoHyphens/>
              <w:spacing w:line="240" w:lineRule="atLeast"/>
              <w:rPr>
                <w:sz w:val="20"/>
                <w:szCs w:val="20"/>
              </w:rPr>
            </w:pPr>
          </w:p>
        </w:tc>
      </w:tr>
      <w:tr w:rsidR="00481933" w:rsidRPr="00D90AA5" w14:paraId="63C152E1" w14:textId="77777777" w:rsidTr="000E2401">
        <w:tblPrEx>
          <w:tblCellMar>
            <w:left w:w="71" w:type="dxa"/>
            <w:right w:w="71" w:type="dxa"/>
          </w:tblCellMar>
        </w:tblPrEx>
        <w:trPr>
          <w:cantSplit/>
        </w:trPr>
        <w:tc>
          <w:tcPr>
            <w:tcW w:w="2502" w:type="dxa"/>
          </w:tcPr>
          <w:p w14:paraId="4D95BAB1" w14:textId="40A452C8" w:rsidR="00481933" w:rsidRPr="00D90AA5" w:rsidRDefault="002408B9" w:rsidP="000E2401">
            <w:pPr>
              <w:widowControl w:val="0"/>
              <w:suppressLineNumbers/>
              <w:suppressAutoHyphens/>
              <w:spacing w:line="240" w:lineRule="atLeast"/>
              <w:rPr>
                <w:b/>
                <w:sz w:val="20"/>
                <w:szCs w:val="20"/>
              </w:rPr>
            </w:pPr>
            <w:r>
              <w:rPr>
                <w:b/>
                <w:sz w:val="20"/>
                <w:szCs w:val="20"/>
              </w:rPr>
              <w:t>29</w:t>
            </w:r>
            <w:r w:rsidR="004F2D28">
              <w:rPr>
                <w:b/>
                <w:sz w:val="20"/>
                <w:szCs w:val="20"/>
              </w:rPr>
              <w:t xml:space="preserve">. </w:t>
            </w:r>
            <w:r w:rsidR="00481933" w:rsidRPr="00D90AA5">
              <w:rPr>
                <w:b/>
                <w:sz w:val="20"/>
                <w:szCs w:val="20"/>
              </w:rPr>
              <w:t>Plazo de duración</w:t>
            </w:r>
          </w:p>
        </w:tc>
        <w:tc>
          <w:tcPr>
            <w:tcW w:w="7207" w:type="dxa"/>
          </w:tcPr>
          <w:p w14:paraId="0427FEA8" w14:textId="77777777" w:rsidR="00481933" w:rsidRPr="00D90AA5" w:rsidRDefault="00481933" w:rsidP="000E2401">
            <w:pPr>
              <w:widowControl w:val="0"/>
              <w:suppressAutoHyphens/>
              <w:jc w:val="both"/>
              <w:rPr>
                <w:sz w:val="20"/>
                <w:szCs w:val="20"/>
              </w:rPr>
            </w:pPr>
            <w:r w:rsidRPr="00D90AA5">
              <w:rPr>
                <w:sz w:val="20"/>
                <w:szCs w:val="20"/>
              </w:rPr>
              <w:t>La duración del Fideicomiso se extenderá hasta la última Fecha de Pago de Servicios que corresponda según el artículo 4.5, sin perjuicio de su continuación por las tareas de liquidación. Sin perjuicio de ello el plazo de duración máxima del presente Fideicomiso será de cinco (5) años, salvo prórroga expresa que se acuerde entre el Fiduciario y los Beneficiarios, aunque en ningún caso excederá el plazo establecido en el artículo 1668 del CCC.</w:t>
            </w:r>
          </w:p>
          <w:p w14:paraId="0D612B28" w14:textId="77777777" w:rsidR="00481933" w:rsidRPr="00D90AA5" w:rsidRDefault="00481933" w:rsidP="000E2401">
            <w:pPr>
              <w:widowControl w:val="0"/>
              <w:suppressAutoHyphens/>
              <w:jc w:val="both"/>
              <w:rPr>
                <w:sz w:val="20"/>
                <w:szCs w:val="20"/>
              </w:rPr>
            </w:pPr>
          </w:p>
        </w:tc>
      </w:tr>
      <w:tr w:rsidR="00481933" w:rsidRPr="00D90AA5" w14:paraId="4FB4478E" w14:textId="77777777" w:rsidTr="000E2401">
        <w:trPr>
          <w:cantSplit/>
          <w:trHeight w:val="620"/>
        </w:trPr>
        <w:tc>
          <w:tcPr>
            <w:tcW w:w="2502" w:type="dxa"/>
          </w:tcPr>
          <w:p w14:paraId="0A95682B" w14:textId="7856D397" w:rsidR="00481933" w:rsidRPr="00D90AA5" w:rsidRDefault="002408B9" w:rsidP="000E2401">
            <w:pPr>
              <w:widowControl w:val="0"/>
              <w:suppressLineNumbers/>
              <w:suppressAutoHyphens/>
              <w:spacing w:line="240" w:lineRule="atLeast"/>
              <w:rPr>
                <w:b/>
                <w:sz w:val="20"/>
                <w:szCs w:val="20"/>
              </w:rPr>
            </w:pPr>
            <w:r>
              <w:rPr>
                <w:b/>
                <w:sz w:val="20"/>
                <w:szCs w:val="20"/>
              </w:rPr>
              <w:t>30</w:t>
            </w:r>
            <w:r w:rsidR="004F2D28">
              <w:rPr>
                <w:b/>
                <w:sz w:val="20"/>
                <w:szCs w:val="20"/>
              </w:rPr>
              <w:t xml:space="preserve">. </w:t>
            </w:r>
            <w:r w:rsidR="00481933" w:rsidRPr="00D90AA5">
              <w:rPr>
                <w:b/>
                <w:sz w:val="20"/>
                <w:szCs w:val="20"/>
              </w:rPr>
              <w:t>Plazo de los VDF</w:t>
            </w:r>
          </w:p>
        </w:tc>
        <w:tc>
          <w:tcPr>
            <w:tcW w:w="7207" w:type="dxa"/>
          </w:tcPr>
          <w:p w14:paraId="20C9F8B7" w14:textId="358C8C23" w:rsidR="00481933" w:rsidRPr="00D90AA5" w:rsidRDefault="00481933" w:rsidP="000E2401">
            <w:pPr>
              <w:pStyle w:val="notaalpie"/>
              <w:widowControl w:val="0"/>
              <w:suppressLineNumbers/>
              <w:suppressAutoHyphens/>
              <w:rPr>
                <w:rFonts w:ascii="Times New Roman" w:hAnsi="Times New Roman"/>
              </w:rPr>
            </w:pPr>
            <w:r w:rsidRPr="00D90AA5">
              <w:rPr>
                <w:rFonts w:ascii="Times New Roman" w:hAnsi="Times New Roman"/>
              </w:rPr>
              <w:t xml:space="preserve">El vencimiento final de los VDF se producirá a los </w:t>
            </w:r>
            <w:r w:rsidR="00581835" w:rsidRPr="004F2D28">
              <w:rPr>
                <w:rFonts w:ascii="Times New Roman" w:hAnsi="Times New Roman"/>
                <w:highlight w:val="yellow"/>
              </w:rPr>
              <w:t>240</w:t>
            </w:r>
            <w:r w:rsidR="00581835" w:rsidRPr="00D90AA5">
              <w:rPr>
                <w:rFonts w:ascii="Times New Roman" w:hAnsi="Times New Roman"/>
              </w:rPr>
              <w:t xml:space="preserve"> días</w:t>
            </w:r>
            <w:r w:rsidR="00C865F0" w:rsidRPr="00D90AA5">
              <w:rPr>
                <w:rFonts w:ascii="Times New Roman" w:hAnsi="Times New Roman"/>
              </w:rPr>
              <w:t xml:space="preserve"> contados desde la</w:t>
            </w:r>
            <w:r w:rsidR="00581835" w:rsidRPr="00D90AA5">
              <w:rPr>
                <w:rFonts w:ascii="Times New Roman" w:hAnsi="Times New Roman"/>
              </w:rPr>
              <w:t xml:space="preserve"> última</w:t>
            </w:r>
            <w:r w:rsidR="00C865F0" w:rsidRPr="00D90AA5">
              <w:rPr>
                <w:rFonts w:ascii="Times New Roman" w:hAnsi="Times New Roman"/>
              </w:rPr>
              <w:t xml:space="preserve"> Fecha de </w:t>
            </w:r>
            <w:r w:rsidR="00581835" w:rsidRPr="00D90AA5">
              <w:rPr>
                <w:rFonts w:ascii="Times New Roman" w:hAnsi="Times New Roman"/>
              </w:rPr>
              <w:t xml:space="preserve">Pago de Servicios </w:t>
            </w:r>
            <w:r w:rsidRPr="00D90AA5">
              <w:rPr>
                <w:rFonts w:ascii="Times New Roman" w:hAnsi="Times New Roman"/>
              </w:rPr>
              <w:t>(el “Plazo de los VDF”).</w:t>
            </w:r>
          </w:p>
          <w:p w14:paraId="7F5735B4" w14:textId="77777777" w:rsidR="00481933" w:rsidRPr="00D90AA5" w:rsidRDefault="00481933" w:rsidP="000E2401">
            <w:pPr>
              <w:pStyle w:val="notaalpie"/>
              <w:widowControl w:val="0"/>
              <w:suppressLineNumbers/>
              <w:suppressAutoHyphens/>
            </w:pPr>
          </w:p>
        </w:tc>
      </w:tr>
      <w:tr w:rsidR="00481933" w:rsidRPr="00D90AA5" w14:paraId="5AA90A89" w14:textId="77777777" w:rsidTr="000E2401">
        <w:tblPrEx>
          <w:tblCellMar>
            <w:left w:w="71" w:type="dxa"/>
            <w:right w:w="71" w:type="dxa"/>
          </w:tblCellMar>
        </w:tblPrEx>
        <w:trPr>
          <w:cantSplit/>
        </w:trPr>
        <w:tc>
          <w:tcPr>
            <w:tcW w:w="2502" w:type="dxa"/>
          </w:tcPr>
          <w:p w14:paraId="5229F484" w14:textId="1F95EC0B" w:rsidR="00481933" w:rsidRPr="00D90AA5" w:rsidRDefault="002408B9" w:rsidP="000E2401">
            <w:pPr>
              <w:widowControl w:val="0"/>
              <w:suppressLineNumbers/>
              <w:suppressAutoHyphens/>
              <w:spacing w:line="240" w:lineRule="atLeast"/>
              <w:rPr>
                <w:b/>
                <w:sz w:val="20"/>
                <w:szCs w:val="20"/>
              </w:rPr>
            </w:pPr>
            <w:r>
              <w:rPr>
                <w:b/>
                <w:sz w:val="20"/>
                <w:szCs w:val="20"/>
              </w:rPr>
              <w:t>31</w:t>
            </w:r>
            <w:r w:rsidR="004F2D28">
              <w:rPr>
                <w:b/>
                <w:sz w:val="20"/>
                <w:szCs w:val="20"/>
              </w:rPr>
              <w:t xml:space="preserve">. </w:t>
            </w:r>
            <w:r w:rsidR="00481933" w:rsidRPr="00D90AA5">
              <w:rPr>
                <w:b/>
                <w:sz w:val="20"/>
                <w:szCs w:val="20"/>
              </w:rPr>
              <w:t>Fecha de cierre del ejercicio</w:t>
            </w:r>
          </w:p>
          <w:p w14:paraId="2E96554E" w14:textId="77777777" w:rsidR="00481933" w:rsidRPr="00D90AA5" w:rsidRDefault="00481933" w:rsidP="000E2401">
            <w:pPr>
              <w:widowControl w:val="0"/>
              <w:suppressLineNumbers/>
              <w:suppressAutoHyphens/>
              <w:spacing w:line="240" w:lineRule="atLeast"/>
              <w:rPr>
                <w:b/>
                <w:sz w:val="20"/>
                <w:szCs w:val="20"/>
              </w:rPr>
            </w:pPr>
          </w:p>
        </w:tc>
        <w:tc>
          <w:tcPr>
            <w:tcW w:w="7207" w:type="dxa"/>
          </w:tcPr>
          <w:p w14:paraId="585353A5" w14:textId="77777777" w:rsidR="00481933" w:rsidRPr="00D90AA5" w:rsidRDefault="00481933" w:rsidP="000E2401">
            <w:pPr>
              <w:widowControl w:val="0"/>
              <w:suppressLineNumbers/>
              <w:suppressAutoHyphens/>
              <w:spacing w:line="240" w:lineRule="atLeast"/>
              <w:rPr>
                <w:sz w:val="20"/>
                <w:szCs w:val="20"/>
              </w:rPr>
            </w:pPr>
            <w:r w:rsidRPr="00D90AA5">
              <w:rPr>
                <w:sz w:val="20"/>
                <w:szCs w:val="20"/>
              </w:rPr>
              <w:t>31 de diciembre de cada año</w:t>
            </w:r>
          </w:p>
          <w:p w14:paraId="0FBCD7A2" w14:textId="77777777" w:rsidR="00481933" w:rsidRPr="00D90AA5" w:rsidRDefault="00481933" w:rsidP="000E2401">
            <w:pPr>
              <w:widowControl w:val="0"/>
              <w:suppressLineNumbers/>
              <w:suppressAutoHyphens/>
              <w:spacing w:line="240" w:lineRule="atLeast"/>
              <w:rPr>
                <w:sz w:val="20"/>
                <w:szCs w:val="20"/>
              </w:rPr>
            </w:pPr>
          </w:p>
        </w:tc>
      </w:tr>
      <w:tr w:rsidR="00481933" w:rsidRPr="00D90AA5" w14:paraId="5D73290A" w14:textId="77777777" w:rsidTr="000E2401">
        <w:trPr>
          <w:cantSplit/>
          <w:trHeight w:val="693"/>
        </w:trPr>
        <w:tc>
          <w:tcPr>
            <w:tcW w:w="2502" w:type="dxa"/>
          </w:tcPr>
          <w:p w14:paraId="22061BD0" w14:textId="6AF13B82" w:rsidR="00481933" w:rsidRPr="00D90AA5" w:rsidRDefault="002408B9" w:rsidP="000E2401">
            <w:pPr>
              <w:widowControl w:val="0"/>
              <w:suppressLineNumbers/>
              <w:suppressAutoHyphens/>
              <w:spacing w:line="240" w:lineRule="atLeast"/>
              <w:rPr>
                <w:b/>
                <w:sz w:val="20"/>
                <w:szCs w:val="20"/>
              </w:rPr>
            </w:pPr>
            <w:r>
              <w:rPr>
                <w:b/>
                <w:sz w:val="20"/>
                <w:szCs w:val="20"/>
              </w:rPr>
              <w:t>32</w:t>
            </w:r>
            <w:r w:rsidR="004F2D28">
              <w:rPr>
                <w:b/>
                <w:sz w:val="20"/>
                <w:szCs w:val="20"/>
              </w:rPr>
              <w:t xml:space="preserve">. </w:t>
            </w:r>
            <w:r w:rsidR="00481933" w:rsidRPr="00D90AA5">
              <w:rPr>
                <w:b/>
                <w:sz w:val="20"/>
                <w:szCs w:val="20"/>
              </w:rPr>
              <w:t>Ámbito de negociación</w:t>
            </w:r>
          </w:p>
        </w:tc>
        <w:tc>
          <w:tcPr>
            <w:tcW w:w="7207" w:type="dxa"/>
          </w:tcPr>
          <w:p w14:paraId="5F65BF92" w14:textId="6B4048D6" w:rsidR="00481933" w:rsidRPr="00D90AA5" w:rsidRDefault="00481933" w:rsidP="004F2D28">
            <w:pPr>
              <w:widowControl w:val="0"/>
              <w:suppressLineNumbers/>
              <w:suppressAutoHyphens/>
              <w:spacing w:line="240" w:lineRule="atLeast"/>
              <w:jc w:val="both"/>
              <w:rPr>
                <w:sz w:val="20"/>
                <w:szCs w:val="20"/>
              </w:rPr>
            </w:pPr>
            <w:r w:rsidRPr="00D90AA5">
              <w:rPr>
                <w:sz w:val="20"/>
                <w:szCs w:val="20"/>
              </w:rPr>
              <w:t xml:space="preserve">Los VDF </w:t>
            </w:r>
            <w:r w:rsidR="00847C9E" w:rsidRPr="00D90AA5">
              <w:rPr>
                <w:sz w:val="20"/>
                <w:szCs w:val="20"/>
              </w:rPr>
              <w:t xml:space="preserve">estarán </w:t>
            </w:r>
            <w:r w:rsidRPr="00D90AA5">
              <w:rPr>
                <w:sz w:val="20"/>
                <w:szCs w:val="20"/>
              </w:rPr>
              <w:t>lista</w:t>
            </w:r>
            <w:r w:rsidR="00847C9E" w:rsidRPr="00D90AA5">
              <w:rPr>
                <w:sz w:val="20"/>
                <w:szCs w:val="20"/>
              </w:rPr>
              <w:t>do</w:t>
            </w:r>
            <w:r w:rsidRPr="00D90AA5">
              <w:rPr>
                <w:sz w:val="20"/>
                <w:szCs w:val="20"/>
              </w:rPr>
              <w:t xml:space="preserve">s en </w:t>
            </w:r>
            <w:proofErr w:type="spellStart"/>
            <w:r w:rsidRPr="00D90AA5">
              <w:rPr>
                <w:sz w:val="20"/>
                <w:szCs w:val="20"/>
              </w:rPr>
              <w:t>ByMA</w:t>
            </w:r>
            <w:proofErr w:type="spellEnd"/>
            <w:r w:rsidR="00847C9E" w:rsidRPr="00D90AA5">
              <w:rPr>
                <w:sz w:val="20"/>
                <w:szCs w:val="20"/>
              </w:rPr>
              <w:t>. Podrán también listarse</w:t>
            </w:r>
            <w:r w:rsidRPr="00D90AA5">
              <w:rPr>
                <w:color w:val="000000"/>
                <w:sz w:val="20"/>
                <w:szCs w:val="20"/>
              </w:rPr>
              <w:t xml:space="preserve"> en el Mercado Abierto Electrónico S.A., y en otros mercados autorizados.</w:t>
            </w:r>
          </w:p>
        </w:tc>
      </w:tr>
      <w:tr w:rsidR="00481933" w:rsidRPr="00D90AA5" w14:paraId="5C92945E" w14:textId="77777777" w:rsidTr="000E2401">
        <w:tblPrEx>
          <w:tblCellMar>
            <w:left w:w="71" w:type="dxa"/>
            <w:right w:w="71" w:type="dxa"/>
          </w:tblCellMar>
        </w:tblPrEx>
        <w:trPr>
          <w:cantSplit/>
        </w:trPr>
        <w:tc>
          <w:tcPr>
            <w:tcW w:w="2502" w:type="dxa"/>
          </w:tcPr>
          <w:p w14:paraId="25FA5F24" w14:textId="01179A4F" w:rsidR="00481933" w:rsidRPr="00D90AA5" w:rsidRDefault="002408B9" w:rsidP="000E2401">
            <w:pPr>
              <w:widowControl w:val="0"/>
              <w:suppressLineNumbers/>
              <w:suppressAutoHyphens/>
              <w:spacing w:line="240" w:lineRule="atLeast"/>
              <w:rPr>
                <w:b/>
                <w:sz w:val="20"/>
                <w:szCs w:val="20"/>
              </w:rPr>
            </w:pPr>
            <w:r>
              <w:rPr>
                <w:b/>
                <w:sz w:val="20"/>
              </w:rPr>
              <w:t>33</w:t>
            </w:r>
            <w:r w:rsidR="004F2D28">
              <w:rPr>
                <w:b/>
                <w:sz w:val="20"/>
              </w:rPr>
              <w:t xml:space="preserve">. </w:t>
            </w:r>
            <w:r w:rsidR="00481933" w:rsidRPr="00D90AA5">
              <w:rPr>
                <w:b/>
                <w:sz w:val="20"/>
              </w:rPr>
              <w:t>Destino de los fondos provenientes de la colocación</w:t>
            </w:r>
          </w:p>
        </w:tc>
        <w:tc>
          <w:tcPr>
            <w:tcW w:w="7207" w:type="dxa"/>
          </w:tcPr>
          <w:p w14:paraId="1120C13F" w14:textId="0ADED9EE" w:rsidR="00481933" w:rsidRPr="00D90AA5" w:rsidRDefault="00481933" w:rsidP="000E2401">
            <w:pPr>
              <w:jc w:val="both"/>
              <w:rPr>
                <w:color w:val="000000"/>
                <w:sz w:val="20"/>
              </w:rPr>
            </w:pPr>
            <w:r w:rsidRPr="00D90AA5">
              <w:rPr>
                <w:color w:val="000000"/>
                <w:sz w:val="20"/>
              </w:rPr>
              <w:t xml:space="preserve">El producido de la colocación de los Valores de Deuda Fiduciaria, neto de gastos y comisiones y </w:t>
            </w:r>
            <w:r w:rsidR="00414254" w:rsidRPr="00D90AA5">
              <w:rPr>
                <w:color w:val="000000"/>
                <w:sz w:val="20"/>
              </w:rPr>
              <w:t xml:space="preserve">la </w:t>
            </w:r>
            <w:r w:rsidRPr="00D90AA5">
              <w:rPr>
                <w:color w:val="000000"/>
                <w:sz w:val="20"/>
              </w:rPr>
              <w:t>constitución del Fondo de Gastos, corresponderá a</w:t>
            </w:r>
            <w:r w:rsidR="004F2D28">
              <w:rPr>
                <w:color w:val="000000"/>
                <w:sz w:val="20"/>
              </w:rPr>
              <w:t xml:space="preserve"> cada</w:t>
            </w:r>
            <w:r w:rsidRPr="00D90AA5">
              <w:rPr>
                <w:color w:val="000000"/>
                <w:sz w:val="20"/>
              </w:rPr>
              <w:t xml:space="preserve"> </w:t>
            </w:r>
            <w:r w:rsidR="004B49BE" w:rsidRPr="00D90AA5">
              <w:rPr>
                <w:color w:val="000000"/>
                <w:sz w:val="20"/>
              </w:rPr>
              <w:t>Fiduciante</w:t>
            </w:r>
            <w:r w:rsidR="004F2D28">
              <w:rPr>
                <w:color w:val="000000"/>
                <w:sz w:val="20"/>
              </w:rPr>
              <w:t xml:space="preserve"> en proporción al valor de los Créditos fideicomitidos por el </w:t>
            </w:r>
            <w:r w:rsidR="00E130F8">
              <w:rPr>
                <w:color w:val="000000"/>
                <w:sz w:val="20"/>
              </w:rPr>
              <w:t>mismo</w:t>
            </w:r>
            <w:r w:rsidR="004B49BE" w:rsidRPr="00D90AA5">
              <w:rPr>
                <w:color w:val="000000"/>
                <w:sz w:val="20"/>
              </w:rPr>
              <w:t>, y</w:t>
            </w:r>
            <w:r w:rsidR="003706AE" w:rsidRPr="00D90AA5">
              <w:rPr>
                <w:color w:val="000000"/>
                <w:sz w:val="20"/>
              </w:rPr>
              <w:t xml:space="preserve"> serán destinados</w:t>
            </w:r>
            <w:r w:rsidR="00E130F8">
              <w:rPr>
                <w:color w:val="000000"/>
                <w:sz w:val="20"/>
              </w:rPr>
              <w:t xml:space="preserve"> </w:t>
            </w:r>
            <w:r w:rsidR="00E130F8" w:rsidRPr="00E130F8">
              <w:rPr>
                <w:color w:val="000000"/>
                <w:sz w:val="20"/>
              </w:rPr>
              <w:t xml:space="preserve">al financiamiento de la </w:t>
            </w:r>
            <w:r w:rsidR="00455144">
              <w:rPr>
                <w:color w:val="000000"/>
                <w:sz w:val="20"/>
              </w:rPr>
              <w:t>promoción</w:t>
            </w:r>
            <w:r w:rsidR="00E130F8" w:rsidRPr="00E130F8">
              <w:rPr>
                <w:color w:val="000000"/>
                <w:sz w:val="20"/>
              </w:rPr>
              <w:t xml:space="preserve"> y comercialización internacional de productos vitivinícolas</w:t>
            </w:r>
            <w:r w:rsidRPr="00D90AA5">
              <w:rPr>
                <w:color w:val="000000"/>
                <w:sz w:val="20"/>
              </w:rPr>
              <w:t>.</w:t>
            </w:r>
          </w:p>
          <w:p w14:paraId="30A24735" w14:textId="77777777" w:rsidR="00481933" w:rsidRPr="00D90AA5" w:rsidRDefault="00481933" w:rsidP="000E2401">
            <w:pPr>
              <w:widowControl w:val="0"/>
              <w:suppressAutoHyphens/>
              <w:jc w:val="both"/>
              <w:rPr>
                <w:sz w:val="20"/>
                <w:szCs w:val="20"/>
              </w:rPr>
            </w:pPr>
          </w:p>
        </w:tc>
      </w:tr>
      <w:tr w:rsidR="00481933" w:rsidRPr="00D90AA5" w14:paraId="2EF75A28" w14:textId="77777777" w:rsidTr="000E2401">
        <w:tblPrEx>
          <w:tblCellMar>
            <w:left w:w="71" w:type="dxa"/>
            <w:right w:w="71" w:type="dxa"/>
          </w:tblCellMar>
        </w:tblPrEx>
        <w:trPr>
          <w:cantSplit/>
          <w:trHeight w:val="326"/>
        </w:trPr>
        <w:tc>
          <w:tcPr>
            <w:tcW w:w="2502" w:type="dxa"/>
          </w:tcPr>
          <w:p w14:paraId="7E52CB5D" w14:textId="60EB370E" w:rsidR="00481933" w:rsidRPr="00D90AA5" w:rsidRDefault="002408B9" w:rsidP="000E2401">
            <w:pPr>
              <w:widowControl w:val="0"/>
              <w:suppressLineNumbers/>
              <w:suppressAutoHyphens/>
              <w:spacing w:line="240" w:lineRule="atLeast"/>
              <w:rPr>
                <w:b/>
                <w:sz w:val="20"/>
                <w:szCs w:val="20"/>
              </w:rPr>
            </w:pPr>
            <w:r>
              <w:rPr>
                <w:b/>
                <w:sz w:val="20"/>
                <w:szCs w:val="20"/>
              </w:rPr>
              <w:t>34</w:t>
            </w:r>
            <w:r w:rsidR="00E130F8">
              <w:rPr>
                <w:b/>
                <w:sz w:val="20"/>
                <w:szCs w:val="20"/>
              </w:rPr>
              <w:t xml:space="preserve">. </w:t>
            </w:r>
            <w:r w:rsidR="00481933" w:rsidRPr="00D90AA5">
              <w:rPr>
                <w:b/>
                <w:sz w:val="20"/>
                <w:szCs w:val="20"/>
              </w:rPr>
              <w:t>Calificación de riesgo</w:t>
            </w:r>
          </w:p>
        </w:tc>
        <w:tc>
          <w:tcPr>
            <w:tcW w:w="7207" w:type="dxa"/>
          </w:tcPr>
          <w:p w14:paraId="24F6E68C" w14:textId="080F272A" w:rsidR="00191C8A" w:rsidRPr="00D90AA5" w:rsidRDefault="00D866DC" w:rsidP="00E130F8">
            <w:pPr>
              <w:widowControl w:val="0"/>
              <w:suppressLineNumbers/>
              <w:suppressAutoHyphens/>
              <w:spacing w:line="240" w:lineRule="atLeast"/>
              <w:jc w:val="both"/>
              <w:rPr>
                <w:bCs/>
                <w:iCs/>
                <w:sz w:val="20"/>
                <w:szCs w:val="20"/>
              </w:rPr>
            </w:pPr>
            <w:r>
              <w:rPr>
                <w:bCs/>
                <w:iCs/>
                <w:sz w:val="20"/>
                <w:szCs w:val="20"/>
              </w:rPr>
              <w:t>Firma/s calificadora/s de riesgo a definir</w:t>
            </w:r>
          </w:p>
        </w:tc>
      </w:tr>
      <w:tr w:rsidR="00481933" w:rsidRPr="00D90AA5" w14:paraId="56C38A0C" w14:textId="77777777" w:rsidTr="000E2401">
        <w:tblPrEx>
          <w:tblCellMar>
            <w:left w:w="71" w:type="dxa"/>
            <w:right w:w="71" w:type="dxa"/>
          </w:tblCellMar>
        </w:tblPrEx>
        <w:trPr>
          <w:cantSplit/>
        </w:trPr>
        <w:tc>
          <w:tcPr>
            <w:tcW w:w="2502" w:type="dxa"/>
          </w:tcPr>
          <w:p w14:paraId="4FFDFD62" w14:textId="4C9D05C7" w:rsidR="00481933" w:rsidRPr="00D90AA5" w:rsidRDefault="002408B9" w:rsidP="000E2401">
            <w:pPr>
              <w:widowControl w:val="0"/>
              <w:suppressLineNumbers/>
              <w:suppressAutoHyphens/>
              <w:spacing w:line="240" w:lineRule="atLeast"/>
              <w:rPr>
                <w:b/>
                <w:sz w:val="20"/>
                <w:szCs w:val="20"/>
              </w:rPr>
            </w:pPr>
            <w:r>
              <w:rPr>
                <w:b/>
                <w:sz w:val="20"/>
                <w:szCs w:val="20"/>
              </w:rPr>
              <w:t>35</w:t>
            </w:r>
            <w:r w:rsidR="00E130F8">
              <w:rPr>
                <w:b/>
                <w:sz w:val="20"/>
                <w:szCs w:val="20"/>
              </w:rPr>
              <w:t xml:space="preserve">. </w:t>
            </w:r>
            <w:r w:rsidR="00481933" w:rsidRPr="00D90AA5">
              <w:rPr>
                <w:b/>
                <w:sz w:val="20"/>
                <w:szCs w:val="20"/>
              </w:rPr>
              <w:t>Resoluciones vinculadas al Fideicomiso</w:t>
            </w:r>
          </w:p>
        </w:tc>
        <w:tc>
          <w:tcPr>
            <w:tcW w:w="7207" w:type="dxa"/>
          </w:tcPr>
          <w:p w14:paraId="233581DC" w14:textId="77777777" w:rsidR="00481933" w:rsidRPr="00D90AA5" w:rsidRDefault="00481933" w:rsidP="00E130F8">
            <w:pPr>
              <w:jc w:val="both"/>
              <w:rPr>
                <w:sz w:val="20"/>
              </w:rPr>
            </w:pPr>
          </w:p>
        </w:tc>
      </w:tr>
    </w:tbl>
    <w:p w14:paraId="5248B4CF" w14:textId="77777777" w:rsidR="00481933" w:rsidRPr="00D90AA5" w:rsidRDefault="00481933" w:rsidP="00481933">
      <w:pPr>
        <w:spacing w:line="240" w:lineRule="atLeast"/>
        <w:rPr>
          <w:szCs w:val="21"/>
        </w:rPr>
      </w:pPr>
    </w:p>
    <w:p w14:paraId="4350039E" w14:textId="4E3D031A" w:rsidR="00481933" w:rsidRDefault="00115E26" w:rsidP="00481933">
      <w:pPr>
        <w:spacing w:line="240" w:lineRule="atLeast"/>
        <w:jc w:val="both"/>
        <w:rPr>
          <w:sz w:val="22"/>
          <w:szCs w:val="22"/>
        </w:rPr>
      </w:pPr>
      <w:r>
        <w:rPr>
          <w:sz w:val="22"/>
          <w:szCs w:val="22"/>
          <w:u w:val="single"/>
        </w:rPr>
        <w:t>Algunas definiciones</w:t>
      </w:r>
      <w:r>
        <w:rPr>
          <w:sz w:val="22"/>
          <w:szCs w:val="22"/>
        </w:rPr>
        <w:t>:</w:t>
      </w:r>
    </w:p>
    <w:p w14:paraId="5F229F10" w14:textId="77777777" w:rsidR="00115E26" w:rsidRPr="00115E26" w:rsidRDefault="00115E26" w:rsidP="00481933">
      <w:pPr>
        <w:spacing w:line="240" w:lineRule="atLeast"/>
        <w:jc w:val="both"/>
        <w:rPr>
          <w:sz w:val="22"/>
          <w:szCs w:val="22"/>
        </w:rPr>
      </w:pPr>
    </w:p>
    <w:p w14:paraId="5F36805D" w14:textId="4286AC14" w:rsidR="00481933" w:rsidRPr="00C67013" w:rsidRDefault="00481933" w:rsidP="00481933">
      <w:pPr>
        <w:jc w:val="both"/>
        <w:rPr>
          <w:sz w:val="22"/>
          <w:szCs w:val="22"/>
        </w:rPr>
      </w:pPr>
      <w:r w:rsidRPr="00C67013">
        <w:rPr>
          <w:b/>
          <w:sz w:val="22"/>
          <w:szCs w:val="22"/>
        </w:rPr>
        <w:t>“Banco Local”:</w:t>
      </w:r>
      <w:r w:rsidRPr="00C67013">
        <w:rPr>
          <w:sz w:val="22"/>
          <w:szCs w:val="22"/>
        </w:rPr>
        <w:t xml:space="preserve"> significa </w:t>
      </w:r>
      <w:r w:rsidR="00115E26">
        <w:rPr>
          <w:sz w:val="22"/>
          <w:szCs w:val="22"/>
        </w:rPr>
        <w:t>el banco designado por cada Fiduciante para liquidar las divisas provenientes de los Créditos de Exportación fideicomitidos, en el que estará abierta la respectiva “Cuenta Especial”</w:t>
      </w:r>
      <w:r w:rsidRPr="00C67013">
        <w:rPr>
          <w:sz w:val="22"/>
          <w:szCs w:val="22"/>
        </w:rPr>
        <w:t>.</w:t>
      </w:r>
    </w:p>
    <w:p w14:paraId="48E767E5" w14:textId="77777777" w:rsidR="00481933" w:rsidRPr="00D90AA5" w:rsidRDefault="00481933" w:rsidP="00481933">
      <w:pPr>
        <w:jc w:val="both"/>
        <w:rPr>
          <w:sz w:val="22"/>
          <w:szCs w:val="22"/>
        </w:rPr>
      </w:pPr>
    </w:p>
    <w:p w14:paraId="0FF49E3A" w14:textId="77777777" w:rsidR="000C38CD" w:rsidRPr="00D90AA5" w:rsidRDefault="000C38CD" w:rsidP="00481933">
      <w:pPr>
        <w:jc w:val="both"/>
        <w:rPr>
          <w:sz w:val="22"/>
          <w:szCs w:val="22"/>
        </w:rPr>
      </w:pPr>
      <w:r w:rsidRPr="00D90AA5">
        <w:rPr>
          <w:b/>
          <w:sz w:val="22"/>
          <w:szCs w:val="22"/>
        </w:rPr>
        <w:t xml:space="preserve">“BL”: </w:t>
      </w:r>
      <w:r w:rsidRPr="00D90AA5">
        <w:rPr>
          <w:sz w:val="22"/>
          <w:szCs w:val="22"/>
        </w:rPr>
        <w:t>significa el comprobante de transporte marítimo</w:t>
      </w:r>
      <w:r w:rsidR="00ED767D" w:rsidRPr="00D90AA5">
        <w:rPr>
          <w:sz w:val="22"/>
          <w:szCs w:val="22"/>
        </w:rPr>
        <w:t xml:space="preserve">, conocimiento de embarque o Bill </w:t>
      </w:r>
      <w:proofErr w:type="spellStart"/>
      <w:r w:rsidR="00ED767D" w:rsidRPr="00D90AA5">
        <w:rPr>
          <w:sz w:val="22"/>
          <w:szCs w:val="22"/>
        </w:rPr>
        <w:t>of</w:t>
      </w:r>
      <w:proofErr w:type="spellEnd"/>
      <w:r w:rsidR="00ED767D" w:rsidRPr="00D90AA5">
        <w:rPr>
          <w:sz w:val="22"/>
          <w:szCs w:val="22"/>
        </w:rPr>
        <w:t xml:space="preserve"> </w:t>
      </w:r>
      <w:proofErr w:type="spellStart"/>
      <w:r w:rsidR="00ED767D" w:rsidRPr="00D90AA5">
        <w:rPr>
          <w:sz w:val="22"/>
          <w:szCs w:val="22"/>
        </w:rPr>
        <w:t>Landing</w:t>
      </w:r>
      <w:proofErr w:type="spellEnd"/>
      <w:r w:rsidRPr="00D90AA5">
        <w:rPr>
          <w:sz w:val="22"/>
          <w:szCs w:val="22"/>
        </w:rPr>
        <w:t>.</w:t>
      </w:r>
    </w:p>
    <w:p w14:paraId="3666C77A" w14:textId="77777777" w:rsidR="000C38CD" w:rsidRPr="00D90AA5" w:rsidRDefault="000C38CD" w:rsidP="00481933">
      <w:pPr>
        <w:jc w:val="both"/>
        <w:rPr>
          <w:sz w:val="22"/>
          <w:szCs w:val="22"/>
        </w:rPr>
      </w:pPr>
    </w:p>
    <w:p w14:paraId="1FFF53D6" w14:textId="77777777" w:rsidR="00481933" w:rsidRPr="00D90AA5" w:rsidRDefault="00481933" w:rsidP="00481933">
      <w:pPr>
        <w:jc w:val="both"/>
        <w:rPr>
          <w:sz w:val="22"/>
          <w:szCs w:val="22"/>
        </w:rPr>
      </w:pPr>
      <w:r w:rsidRPr="00D90AA5">
        <w:rPr>
          <w:b/>
          <w:sz w:val="22"/>
          <w:szCs w:val="22"/>
        </w:rPr>
        <w:t>“BYMA”:</w:t>
      </w:r>
      <w:r w:rsidRPr="00D90AA5">
        <w:rPr>
          <w:sz w:val="22"/>
          <w:szCs w:val="22"/>
        </w:rPr>
        <w:t xml:space="preserve"> significa el mercado denominado “Bolsas y Mercados Argentinos S.A.”.</w:t>
      </w:r>
    </w:p>
    <w:p w14:paraId="213FFB48" w14:textId="77777777" w:rsidR="00481933" w:rsidRPr="00D90AA5" w:rsidRDefault="00481933" w:rsidP="00481933">
      <w:pPr>
        <w:jc w:val="both"/>
        <w:rPr>
          <w:b/>
          <w:sz w:val="22"/>
          <w:szCs w:val="22"/>
        </w:rPr>
      </w:pPr>
    </w:p>
    <w:p w14:paraId="2E97B806" w14:textId="77777777" w:rsidR="00481933" w:rsidRPr="00D90AA5" w:rsidRDefault="00481933" w:rsidP="00481933">
      <w:pPr>
        <w:spacing w:line="240" w:lineRule="atLeast"/>
        <w:jc w:val="both"/>
        <w:rPr>
          <w:sz w:val="22"/>
          <w:szCs w:val="22"/>
        </w:rPr>
      </w:pPr>
      <w:r w:rsidRPr="00D90AA5">
        <w:rPr>
          <w:b/>
          <w:sz w:val="22"/>
          <w:szCs w:val="22"/>
        </w:rPr>
        <w:t xml:space="preserve">“CCC”: </w:t>
      </w:r>
      <w:r w:rsidRPr="00D90AA5">
        <w:rPr>
          <w:sz w:val="22"/>
          <w:szCs w:val="22"/>
        </w:rPr>
        <w:t>Significa el Código Civil y Comercial.</w:t>
      </w:r>
    </w:p>
    <w:p w14:paraId="576178C2" w14:textId="77777777" w:rsidR="00481933" w:rsidRPr="00D90AA5" w:rsidRDefault="00481933" w:rsidP="00481933">
      <w:pPr>
        <w:rPr>
          <w:b/>
          <w:sz w:val="22"/>
          <w:szCs w:val="22"/>
        </w:rPr>
      </w:pPr>
    </w:p>
    <w:p w14:paraId="51629B8B" w14:textId="7FDC9ADA" w:rsidR="00481933" w:rsidRPr="00D90AA5" w:rsidRDefault="00481933" w:rsidP="00481933">
      <w:pPr>
        <w:jc w:val="both"/>
        <w:rPr>
          <w:sz w:val="22"/>
          <w:szCs w:val="22"/>
        </w:rPr>
      </w:pPr>
      <w:r w:rsidRPr="00D90AA5">
        <w:rPr>
          <w:b/>
          <w:sz w:val="22"/>
          <w:szCs w:val="22"/>
        </w:rPr>
        <w:t xml:space="preserve">“Cobranza”: </w:t>
      </w:r>
      <w:r w:rsidRPr="00D90AA5">
        <w:rPr>
          <w:sz w:val="22"/>
          <w:szCs w:val="22"/>
        </w:rPr>
        <w:t xml:space="preserve">las sumas en Dólares que se perciban en relación con las Facturas </w:t>
      </w:r>
      <w:r w:rsidR="002936CE" w:rsidRPr="00D90AA5">
        <w:rPr>
          <w:sz w:val="22"/>
          <w:szCs w:val="22"/>
        </w:rPr>
        <w:t>Fideicomitidas</w:t>
      </w:r>
      <w:r w:rsidR="00AD516C" w:rsidRPr="00C67013">
        <w:rPr>
          <w:sz w:val="22"/>
          <w:szCs w:val="22"/>
        </w:rPr>
        <w:t>. El</w:t>
      </w:r>
      <w:r w:rsidRPr="00C67013">
        <w:rPr>
          <w:sz w:val="22"/>
          <w:szCs w:val="22"/>
        </w:rPr>
        <w:t xml:space="preserve"> producido de la liquidación de </w:t>
      </w:r>
      <w:r w:rsidR="00AE5517" w:rsidRPr="00D90AA5">
        <w:rPr>
          <w:sz w:val="22"/>
          <w:szCs w:val="22"/>
        </w:rPr>
        <w:t>tale</w:t>
      </w:r>
      <w:r w:rsidRPr="00D90AA5">
        <w:rPr>
          <w:sz w:val="22"/>
          <w:szCs w:val="22"/>
        </w:rPr>
        <w:t>s divisas se deposit</w:t>
      </w:r>
      <w:r w:rsidR="00AD516C" w:rsidRPr="00D90AA5">
        <w:rPr>
          <w:sz w:val="22"/>
          <w:szCs w:val="22"/>
        </w:rPr>
        <w:t>a</w:t>
      </w:r>
      <w:r w:rsidRPr="00D90AA5">
        <w:rPr>
          <w:sz w:val="22"/>
          <w:szCs w:val="22"/>
        </w:rPr>
        <w:t xml:space="preserve"> en la </w:t>
      </w:r>
      <w:r w:rsidR="00115E26">
        <w:rPr>
          <w:sz w:val="22"/>
          <w:szCs w:val="22"/>
        </w:rPr>
        <w:t xml:space="preserve">respectiva </w:t>
      </w:r>
      <w:r w:rsidR="00191C8A" w:rsidRPr="00D90AA5">
        <w:rPr>
          <w:sz w:val="22"/>
          <w:szCs w:val="22"/>
        </w:rPr>
        <w:t>Cuenta Especial</w:t>
      </w:r>
      <w:r w:rsidRPr="00D90AA5">
        <w:rPr>
          <w:sz w:val="22"/>
          <w:szCs w:val="22"/>
        </w:rPr>
        <w:t>.</w:t>
      </w:r>
    </w:p>
    <w:p w14:paraId="4EF60102" w14:textId="77777777" w:rsidR="00481933" w:rsidRPr="00D90AA5" w:rsidRDefault="00481933" w:rsidP="00481933">
      <w:pPr>
        <w:jc w:val="both"/>
        <w:rPr>
          <w:b/>
          <w:bCs/>
          <w:sz w:val="22"/>
          <w:szCs w:val="22"/>
        </w:rPr>
      </w:pPr>
    </w:p>
    <w:p w14:paraId="4E917794" w14:textId="7C079917" w:rsidR="00367FA0" w:rsidRPr="00D90AA5" w:rsidRDefault="00367FA0" w:rsidP="00481933">
      <w:pPr>
        <w:jc w:val="both"/>
        <w:rPr>
          <w:bCs/>
          <w:sz w:val="22"/>
          <w:szCs w:val="22"/>
        </w:rPr>
      </w:pPr>
      <w:r w:rsidRPr="00D90AA5">
        <w:rPr>
          <w:b/>
          <w:bCs/>
          <w:sz w:val="22"/>
          <w:szCs w:val="22"/>
        </w:rPr>
        <w:t>“Condición Incoterms”:</w:t>
      </w:r>
      <w:r w:rsidRPr="00D90AA5">
        <w:rPr>
          <w:bCs/>
          <w:sz w:val="22"/>
          <w:szCs w:val="22"/>
        </w:rPr>
        <w:t xml:space="preserve"> significa </w:t>
      </w:r>
      <w:r w:rsidR="002509C9" w:rsidRPr="00D90AA5">
        <w:rPr>
          <w:bCs/>
          <w:sz w:val="22"/>
          <w:szCs w:val="22"/>
        </w:rPr>
        <w:t xml:space="preserve">el término de tres letras consignado en una Factura de Exportación – conforme a la </w:t>
      </w:r>
      <w:hyperlink r:id="rId12" w:tooltip="Convención de las Naciones Unidas sobre los Contratos de Compraventa Internacional de Mercaderías" w:history="1">
        <w:r w:rsidR="002509C9" w:rsidRPr="00D90AA5">
          <w:rPr>
            <w:sz w:val="22"/>
            <w:szCs w:val="22"/>
          </w:rPr>
          <w:t xml:space="preserve">Convención de las Naciones Unidas sobre los </w:t>
        </w:r>
        <w:r w:rsidR="00981706" w:rsidRPr="00D90AA5">
          <w:rPr>
            <w:sz w:val="22"/>
            <w:szCs w:val="22"/>
          </w:rPr>
          <w:t>C</w:t>
        </w:r>
        <w:r w:rsidR="002509C9" w:rsidRPr="00D90AA5">
          <w:rPr>
            <w:sz w:val="22"/>
            <w:szCs w:val="22"/>
          </w:rPr>
          <w:t xml:space="preserve">ontratos de </w:t>
        </w:r>
        <w:r w:rsidR="00981706" w:rsidRPr="00D90AA5">
          <w:rPr>
            <w:sz w:val="22"/>
            <w:szCs w:val="22"/>
          </w:rPr>
          <w:t>C</w:t>
        </w:r>
        <w:r w:rsidR="002509C9" w:rsidRPr="00D90AA5">
          <w:rPr>
            <w:sz w:val="22"/>
            <w:szCs w:val="22"/>
          </w:rPr>
          <w:t xml:space="preserve">ompraventa </w:t>
        </w:r>
        <w:r w:rsidR="00981706" w:rsidRPr="00D90AA5">
          <w:rPr>
            <w:sz w:val="22"/>
            <w:szCs w:val="22"/>
          </w:rPr>
          <w:t>I</w:t>
        </w:r>
        <w:r w:rsidR="002509C9" w:rsidRPr="00D90AA5">
          <w:rPr>
            <w:sz w:val="22"/>
            <w:szCs w:val="22"/>
          </w:rPr>
          <w:t xml:space="preserve">nternacional de </w:t>
        </w:r>
        <w:r w:rsidR="00981706" w:rsidRPr="00D90AA5">
          <w:rPr>
            <w:sz w:val="22"/>
            <w:szCs w:val="22"/>
          </w:rPr>
          <w:t>M</w:t>
        </w:r>
        <w:r w:rsidR="002509C9" w:rsidRPr="00C67013">
          <w:rPr>
            <w:sz w:val="22"/>
            <w:szCs w:val="22"/>
          </w:rPr>
          <w:t>ercaderías</w:t>
        </w:r>
      </w:hyperlink>
      <w:r w:rsidR="002509C9" w:rsidRPr="00D90AA5">
        <w:rPr>
          <w:bCs/>
          <w:sz w:val="22"/>
          <w:szCs w:val="22"/>
        </w:rPr>
        <w:t xml:space="preserve"> de abril de 1980 y las regulaciones de la Cámara de Comercio Internacional –</w:t>
      </w:r>
      <w:r w:rsidR="00981706" w:rsidRPr="00D90AA5">
        <w:rPr>
          <w:bCs/>
          <w:sz w:val="22"/>
          <w:szCs w:val="22"/>
        </w:rPr>
        <w:t xml:space="preserve"> </w:t>
      </w:r>
      <w:r w:rsidR="002509C9" w:rsidRPr="00D90AA5">
        <w:rPr>
          <w:bCs/>
          <w:sz w:val="22"/>
          <w:szCs w:val="22"/>
        </w:rPr>
        <w:t>que establece los criterios que las partes de la compraventa acuerdan aplicar en lo relativo</w:t>
      </w:r>
      <w:r w:rsidR="002509C9" w:rsidRPr="00C67013">
        <w:rPr>
          <w:bCs/>
          <w:sz w:val="22"/>
          <w:szCs w:val="22"/>
        </w:rPr>
        <w:t xml:space="preserve"> a la </w:t>
      </w:r>
      <w:r w:rsidR="00C3366C" w:rsidRPr="00C67013">
        <w:rPr>
          <w:bCs/>
          <w:sz w:val="22"/>
          <w:szCs w:val="22"/>
        </w:rPr>
        <w:t xml:space="preserve">entrega de las mercaderías, la </w:t>
      </w:r>
      <w:r w:rsidR="002509C9" w:rsidRPr="00D90AA5">
        <w:rPr>
          <w:bCs/>
          <w:sz w:val="22"/>
          <w:szCs w:val="22"/>
        </w:rPr>
        <w:t>distribución de los gastos y la transmisión de los riesgos</w:t>
      </w:r>
      <w:r w:rsidR="00C3366C" w:rsidRPr="00D90AA5">
        <w:rPr>
          <w:bCs/>
          <w:sz w:val="22"/>
          <w:szCs w:val="22"/>
        </w:rPr>
        <w:t>.</w:t>
      </w:r>
    </w:p>
    <w:p w14:paraId="3DA5380A" w14:textId="77777777" w:rsidR="002509C9" w:rsidRPr="00D90AA5" w:rsidRDefault="002509C9" w:rsidP="00481933">
      <w:pPr>
        <w:jc w:val="both"/>
        <w:rPr>
          <w:b/>
          <w:bCs/>
          <w:sz w:val="22"/>
          <w:szCs w:val="22"/>
        </w:rPr>
      </w:pPr>
    </w:p>
    <w:p w14:paraId="0663B838" w14:textId="4A88FE1E" w:rsidR="006C3859" w:rsidRPr="00D90AA5" w:rsidRDefault="006C3859" w:rsidP="00481933">
      <w:pPr>
        <w:jc w:val="both"/>
        <w:rPr>
          <w:bCs/>
          <w:sz w:val="22"/>
          <w:szCs w:val="22"/>
        </w:rPr>
      </w:pPr>
      <w:r w:rsidRPr="00C67013">
        <w:rPr>
          <w:b/>
          <w:bCs/>
          <w:sz w:val="22"/>
          <w:szCs w:val="22"/>
        </w:rPr>
        <w:t>“Contrato de Transporte”:</w:t>
      </w:r>
      <w:r w:rsidR="00981706" w:rsidRPr="00D90AA5">
        <w:rPr>
          <w:b/>
          <w:bCs/>
          <w:sz w:val="22"/>
          <w:szCs w:val="22"/>
        </w:rPr>
        <w:t xml:space="preserve"> </w:t>
      </w:r>
      <w:r w:rsidR="002145CF" w:rsidRPr="00D90AA5">
        <w:rPr>
          <w:bCs/>
          <w:sz w:val="22"/>
          <w:szCs w:val="22"/>
        </w:rPr>
        <w:t>es la documentación</w:t>
      </w:r>
      <w:r w:rsidR="007D0727" w:rsidRPr="00D90AA5">
        <w:rPr>
          <w:bCs/>
          <w:sz w:val="22"/>
          <w:szCs w:val="22"/>
        </w:rPr>
        <w:t xml:space="preserve"> en </w:t>
      </w:r>
      <w:r w:rsidR="00DC283C" w:rsidRPr="00D90AA5">
        <w:rPr>
          <w:bCs/>
          <w:sz w:val="22"/>
          <w:szCs w:val="22"/>
        </w:rPr>
        <w:t>el referido al transporte de las mercaderías referenciadas por las Facturas Fideicomitidas hasta su lugar de destino</w:t>
      </w:r>
      <w:r w:rsidR="000C38CD" w:rsidRPr="00D90AA5">
        <w:rPr>
          <w:bCs/>
          <w:sz w:val="22"/>
          <w:szCs w:val="22"/>
        </w:rPr>
        <w:t>, integrado por el CRT y en su caso el BL.</w:t>
      </w:r>
    </w:p>
    <w:p w14:paraId="4B33636B" w14:textId="77777777" w:rsidR="00481933" w:rsidRPr="00D90AA5" w:rsidRDefault="00481933" w:rsidP="00481933">
      <w:pPr>
        <w:rPr>
          <w:b/>
          <w:sz w:val="22"/>
          <w:szCs w:val="22"/>
        </w:rPr>
      </w:pPr>
    </w:p>
    <w:p w14:paraId="0D79EE9E" w14:textId="77777777" w:rsidR="00481933" w:rsidRPr="00D90AA5" w:rsidRDefault="00481933" w:rsidP="00D07BF2">
      <w:pPr>
        <w:jc w:val="both"/>
        <w:rPr>
          <w:sz w:val="22"/>
          <w:szCs w:val="22"/>
        </w:rPr>
      </w:pPr>
      <w:r w:rsidRPr="00D90AA5">
        <w:rPr>
          <w:b/>
          <w:sz w:val="22"/>
          <w:szCs w:val="22"/>
        </w:rPr>
        <w:t>“</w:t>
      </w:r>
      <w:r w:rsidR="004B49BE" w:rsidRPr="00D90AA5">
        <w:rPr>
          <w:b/>
          <w:sz w:val="22"/>
          <w:szCs w:val="22"/>
        </w:rPr>
        <w:t>Créditos”:</w:t>
      </w:r>
      <w:r w:rsidR="004B49BE" w:rsidRPr="00D90AA5">
        <w:rPr>
          <w:sz w:val="22"/>
          <w:szCs w:val="22"/>
        </w:rPr>
        <w:t xml:space="preserve"> significa</w:t>
      </w:r>
      <w:r w:rsidR="00097E64" w:rsidRPr="00D90AA5">
        <w:rPr>
          <w:sz w:val="22"/>
          <w:szCs w:val="22"/>
        </w:rPr>
        <w:t xml:space="preserve"> en conjunto los créditos que documentan las Facturas Fideicomitidas, y los demás que derivan de o son sustitutos de los mismos: el Crédito por Liquidación de Divisas, el crédito eventual por el Seguro de Crédito o por el Seguro de Carga, y el crédito eventual derivado del Contrato de Transporte.</w:t>
      </w:r>
    </w:p>
    <w:p w14:paraId="19C3E8B6" w14:textId="77777777" w:rsidR="005864F9" w:rsidRPr="00D90AA5" w:rsidRDefault="005864F9" w:rsidP="00D07BF2">
      <w:pPr>
        <w:jc w:val="both"/>
        <w:rPr>
          <w:sz w:val="22"/>
          <w:szCs w:val="22"/>
        </w:rPr>
      </w:pPr>
    </w:p>
    <w:p w14:paraId="0BC34245" w14:textId="77777777" w:rsidR="005864F9" w:rsidRPr="00D90AA5" w:rsidRDefault="005864F9" w:rsidP="00D07BF2">
      <w:pPr>
        <w:jc w:val="both"/>
        <w:rPr>
          <w:sz w:val="22"/>
          <w:szCs w:val="22"/>
        </w:rPr>
      </w:pPr>
      <w:r w:rsidRPr="00D90AA5">
        <w:rPr>
          <w:b/>
          <w:sz w:val="22"/>
          <w:szCs w:val="22"/>
        </w:rPr>
        <w:lastRenderedPageBreak/>
        <w:t>“Créditos por Liquidación de Divisas”</w:t>
      </w:r>
      <w:r w:rsidRPr="00D90AA5">
        <w:rPr>
          <w:sz w:val="22"/>
          <w:szCs w:val="22"/>
        </w:rPr>
        <w:t xml:space="preserve">: </w:t>
      </w:r>
      <w:r w:rsidR="00747520" w:rsidRPr="00D90AA5">
        <w:rPr>
          <w:sz w:val="22"/>
          <w:szCs w:val="22"/>
        </w:rPr>
        <w:t xml:space="preserve">significa el crédito que corresponde al Fiduciante respecto del Banco Local por la liquidación de las divisas ingresadas por las Cobranzas, </w:t>
      </w:r>
      <w:r w:rsidR="00CF28B5" w:rsidRPr="00D90AA5">
        <w:rPr>
          <w:sz w:val="22"/>
          <w:szCs w:val="22"/>
        </w:rPr>
        <w:t>cuyo producido en pesos debe transferirse a la Cuenta Especial, sin perjuicio de lo estipulado en el artículo 2.3.</w:t>
      </w:r>
    </w:p>
    <w:p w14:paraId="5CD214BA" w14:textId="77777777" w:rsidR="00481933" w:rsidRPr="00D90AA5" w:rsidRDefault="00481933" w:rsidP="00481933">
      <w:pPr>
        <w:ind w:firstLine="708"/>
        <w:rPr>
          <w:sz w:val="22"/>
          <w:szCs w:val="22"/>
        </w:rPr>
      </w:pPr>
    </w:p>
    <w:p w14:paraId="0271FE3D" w14:textId="77777777" w:rsidR="000C38CD" w:rsidRPr="00D90AA5" w:rsidRDefault="000C38CD" w:rsidP="00481933">
      <w:pPr>
        <w:pStyle w:val="BodyText23"/>
        <w:widowControl/>
        <w:rPr>
          <w:b w:val="0"/>
          <w:bCs/>
          <w:szCs w:val="22"/>
        </w:rPr>
      </w:pPr>
      <w:r w:rsidRPr="00D90AA5">
        <w:rPr>
          <w:bCs/>
          <w:szCs w:val="22"/>
        </w:rPr>
        <w:t>“CRT”:</w:t>
      </w:r>
      <w:r w:rsidRPr="00D90AA5">
        <w:rPr>
          <w:b w:val="0"/>
          <w:bCs/>
          <w:szCs w:val="22"/>
        </w:rPr>
        <w:t xml:space="preserve"> significa </w:t>
      </w:r>
      <w:r w:rsidR="00097E64" w:rsidRPr="00D90AA5">
        <w:rPr>
          <w:b w:val="0"/>
          <w:bCs/>
          <w:szCs w:val="22"/>
        </w:rPr>
        <w:t>la carta de porte</w:t>
      </w:r>
      <w:r w:rsidR="007D0727" w:rsidRPr="00D90AA5">
        <w:rPr>
          <w:b w:val="0"/>
          <w:bCs/>
          <w:szCs w:val="22"/>
        </w:rPr>
        <w:t xml:space="preserve"> </w:t>
      </w:r>
      <w:r w:rsidR="00097E64" w:rsidRPr="00D90AA5">
        <w:rPr>
          <w:b w:val="0"/>
          <w:bCs/>
          <w:szCs w:val="22"/>
        </w:rPr>
        <w:t>de transporte terrestre</w:t>
      </w:r>
      <w:r w:rsidRPr="00D90AA5">
        <w:rPr>
          <w:b w:val="0"/>
          <w:bCs/>
          <w:szCs w:val="22"/>
        </w:rPr>
        <w:t>.</w:t>
      </w:r>
    </w:p>
    <w:p w14:paraId="6A331564" w14:textId="77777777" w:rsidR="000C38CD" w:rsidRPr="00D90AA5" w:rsidRDefault="000C38CD" w:rsidP="00481933">
      <w:pPr>
        <w:pStyle w:val="BodyText23"/>
        <w:widowControl/>
        <w:rPr>
          <w:bCs/>
          <w:szCs w:val="22"/>
        </w:rPr>
      </w:pPr>
    </w:p>
    <w:p w14:paraId="44C8961D" w14:textId="77777777" w:rsidR="00481933" w:rsidRPr="00D90AA5" w:rsidRDefault="00481933" w:rsidP="00481933">
      <w:pPr>
        <w:pStyle w:val="BodyText23"/>
        <w:widowControl/>
        <w:rPr>
          <w:szCs w:val="22"/>
        </w:rPr>
      </w:pPr>
      <w:r w:rsidRPr="00D90AA5">
        <w:rPr>
          <w:bCs/>
          <w:szCs w:val="22"/>
        </w:rPr>
        <w:t xml:space="preserve">“Cuadro de Pago de </w:t>
      </w:r>
      <w:r w:rsidR="004B49BE" w:rsidRPr="00D90AA5">
        <w:rPr>
          <w:bCs/>
          <w:szCs w:val="22"/>
        </w:rPr>
        <w:t>Servicios”:</w:t>
      </w:r>
      <w:r w:rsidR="004B49BE" w:rsidRPr="00D90AA5">
        <w:rPr>
          <w:b w:val="0"/>
          <w:szCs w:val="22"/>
        </w:rPr>
        <w:t xml:space="preserve"> es</w:t>
      </w:r>
      <w:r w:rsidRPr="00D90AA5">
        <w:rPr>
          <w:b w:val="0"/>
          <w:szCs w:val="22"/>
        </w:rPr>
        <w:t xml:space="preserve"> e</w:t>
      </w:r>
      <w:r w:rsidRPr="00D90AA5">
        <w:rPr>
          <w:b w:val="0"/>
          <w:bCs/>
          <w:szCs w:val="22"/>
        </w:rPr>
        <w:t>l cuadro que indica las Fechas de Pago de Servicios y los conceptos y montos teóricos a pagar en cada una de ellas a insertar en el Suplemento de Prospecto.</w:t>
      </w:r>
    </w:p>
    <w:p w14:paraId="1830879E" w14:textId="77777777" w:rsidR="000D5D9C" w:rsidRPr="00D90AA5" w:rsidRDefault="000D5D9C" w:rsidP="00481933">
      <w:pPr>
        <w:jc w:val="both"/>
        <w:rPr>
          <w:b/>
          <w:sz w:val="22"/>
          <w:szCs w:val="22"/>
        </w:rPr>
      </w:pPr>
    </w:p>
    <w:p w14:paraId="18CF8774" w14:textId="1D3EB93E" w:rsidR="00191C8A" w:rsidRPr="00D90AA5" w:rsidRDefault="00191C8A" w:rsidP="00481933">
      <w:pPr>
        <w:jc w:val="both"/>
        <w:rPr>
          <w:sz w:val="22"/>
          <w:szCs w:val="22"/>
        </w:rPr>
      </w:pPr>
      <w:r w:rsidRPr="00D90AA5">
        <w:rPr>
          <w:b/>
          <w:sz w:val="22"/>
          <w:szCs w:val="22"/>
        </w:rPr>
        <w:t>“Cuenta Especial”:</w:t>
      </w:r>
      <w:r w:rsidRPr="00D90AA5">
        <w:rPr>
          <w:sz w:val="22"/>
          <w:szCs w:val="22"/>
        </w:rPr>
        <w:t xml:space="preserve"> es</w:t>
      </w:r>
      <w:r w:rsidRPr="00D90AA5">
        <w:rPr>
          <w:sz w:val="22"/>
          <w:szCs w:val="22"/>
          <w:lang w:val="es-ES"/>
        </w:rPr>
        <w:t xml:space="preserve"> la cuenta corriente </w:t>
      </w:r>
      <w:r w:rsidR="001D4E49" w:rsidRPr="00D90AA5">
        <w:rPr>
          <w:sz w:val="22"/>
          <w:szCs w:val="22"/>
          <w:lang w:val="es-ES"/>
        </w:rPr>
        <w:t>que se abrirá</w:t>
      </w:r>
      <w:r w:rsidRPr="00D90AA5">
        <w:rPr>
          <w:sz w:val="22"/>
          <w:szCs w:val="22"/>
          <w:lang w:val="es-ES"/>
        </w:rPr>
        <w:t xml:space="preserve"> en </w:t>
      </w:r>
      <w:r w:rsidR="00115E26">
        <w:rPr>
          <w:sz w:val="22"/>
          <w:szCs w:val="22"/>
          <w:lang w:val="es-ES"/>
        </w:rPr>
        <w:t>cada</w:t>
      </w:r>
      <w:r w:rsidRPr="00D90AA5">
        <w:rPr>
          <w:sz w:val="22"/>
          <w:szCs w:val="22"/>
          <w:lang w:val="es-ES"/>
        </w:rPr>
        <w:t xml:space="preserve"> Banco Local</w:t>
      </w:r>
      <w:r w:rsidR="001D4E49" w:rsidRPr="00D90AA5">
        <w:rPr>
          <w:sz w:val="22"/>
          <w:szCs w:val="22"/>
          <w:lang w:val="es-ES"/>
        </w:rPr>
        <w:t xml:space="preserve"> </w:t>
      </w:r>
      <w:r w:rsidRPr="00D90AA5">
        <w:rPr>
          <w:sz w:val="22"/>
          <w:szCs w:val="22"/>
          <w:lang w:val="es-ES"/>
        </w:rPr>
        <w:t xml:space="preserve">, </w:t>
      </w:r>
      <w:r w:rsidRPr="00D90AA5">
        <w:rPr>
          <w:sz w:val="22"/>
          <w:szCs w:val="22"/>
        </w:rPr>
        <w:t>en la cual se acreditarán los pesos provenientes de la liquidación de las divisas correspondientes a las Cobranzas</w:t>
      </w:r>
      <w:r w:rsidR="00115E26">
        <w:rPr>
          <w:sz w:val="22"/>
          <w:szCs w:val="22"/>
        </w:rPr>
        <w:t xml:space="preserve"> correspondientes a determinado Fiduciante</w:t>
      </w:r>
      <w:r w:rsidRPr="00C67013">
        <w:rPr>
          <w:sz w:val="22"/>
          <w:szCs w:val="22"/>
          <w:lang w:val="es-ES"/>
        </w:rPr>
        <w:t>, bajo titularidad del Fiduciante</w:t>
      </w:r>
      <w:r w:rsidR="007C4C2E" w:rsidRPr="00C67013">
        <w:rPr>
          <w:sz w:val="22"/>
          <w:szCs w:val="22"/>
          <w:lang w:val="es-ES"/>
        </w:rPr>
        <w:t xml:space="preserve"> pero operada por el Fiduciario</w:t>
      </w:r>
      <w:r w:rsidRPr="00D90AA5">
        <w:rPr>
          <w:sz w:val="22"/>
          <w:szCs w:val="22"/>
          <w:lang w:val="es-ES"/>
        </w:rPr>
        <w:t>, y cuyos saldos acreedores se encuentran cedidos a</w:t>
      </w:r>
      <w:r w:rsidR="00115E26">
        <w:rPr>
          <w:sz w:val="22"/>
          <w:szCs w:val="22"/>
          <w:lang w:val="es-ES"/>
        </w:rPr>
        <w:t>l</w:t>
      </w:r>
      <w:r w:rsidRPr="00D90AA5">
        <w:rPr>
          <w:sz w:val="22"/>
          <w:szCs w:val="22"/>
          <w:lang w:val="es-ES"/>
        </w:rPr>
        <w:t xml:space="preserve"> Fideicomiso.</w:t>
      </w:r>
    </w:p>
    <w:p w14:paraId="6C8C2975" w14:textId="77777777" w:rsidR="00191C8A" w:rsidRPr="00D90AA5" w:rsidRDefault="00191C8A" w:rsidP="00481933">
      <w:pPr>
        <w:jc w:val="both"/>
        <w:rPr>
          <w:b/>
          <w:sz w:val="22"/>
          <w:szCs w:val="22"/>
        </w:rPr>
      </w:pPr>
    </w:p>
    <w:p w14:paraId="581F4FCF" w14:textId="0A552FC8" w:rsidR="00481933" w:rsidRPr="00D90AA5" w:rsidRDefault="00481933" w:rsidP="00481933">
      <w:pPr>
        <w:jc w:val="both"/>
        <w:rPr>
          <w:sz w:val="22"/>
          <w:szCs w:val="22"/>
        </w:rPr>
      </w:pPr>
      <w:r w:rsidRPr="00D90AA5">
        <w:rPr>
          <w:b/>
          <w:sz w:val="22"/>
          <w:szCs w:val="22"/>
        </w:rPr>
        <w:t>“Cuenta Fiduciaria”:</w:t>
      </w:r>
      <w:r w:rsidRPr="00D90AA5">
        <w:rPr>
          <w:sz w:val="22"/>
          <w:szCs w:val="22"/>
        </w:rPr>
        <w:t xml:space="preserve"> es la cuenta bancaria abierta por el Fiduciario en nombre del Fideicomiso en la que se deberán acreditar los fondos provenientes de la </w:t>
      </w:r>
      <w:r w:rsidR="00191C8A" w:rsidRPr="00D90AA5">
        <w:rPr>
          <w:sz w:val="22"/>
          <w:szCs w:val="22"/>
        </w:rPr>
        <w:t>Cuenta Especial</w:t>
      </w:r>
      <w:r w:rsidRPr="00D90AA5">
        <w:rPr>
          <w:sz w:val="22"/>
          <w:szCs w:val="22"/>
        </w:rPr>
        <w:t xml:space="preserve"> y los Fondos Líquidos Disponibles no invertidos.</w:t>
      </w:r>
    </w:p>
    <w:p w14:paraId="44459E07" w14:textId="77777777" w:rsidR="00481933" w:rsidRPr="00C67013" w:rsidRDefault="00481933" w:rsidP="00481933">
      <w:pPr>
        <w:jc w:val="both"/>
        <w:rPr>
          <w:b/>
          <w:sz w:val="22"/>
          <w:szCs w:val="22"/>
        </w:rPr>
      </w:pPr>
    </w:p>
    <w:p w14:paraId="3DCC469D" w14:textId="23346ABB" w:rsidR="00481933" w:rsidRPr="00D90AA5" w:rsidRDefault="00481933" w:rsidP="00481933">
      <w:pPr>
        <w:jc w:val="both"/>
        <w:rPr>
          <w:sz w:val="22"/>
          <w:szCs w:val="22"/>
        </w:rPr>
      </w:pPr>
      <w:r w:rsidRPr="00C67013">
        <w:rPr>
          <w:b/>
          <w:sz w:val="22"/>
          <w:szCs w:val="22"/>
        </w:rPr>
        <w:t>“</w:t>
      </w:r>
      <w:r w:rsidRPr="00D90AA5">
        <w:rPr>
          <w:b/>
          <w:sz w:val="22"/>
          <w:szCs w:val="22"/>
        </w:rPr>
        <w:t xml:space="preserve">Cuenta Libre del Fiduciante”: </w:t>
      </w:r>
      <w:r w:rsidRPr="00D90AA5">
        <w:rPr>
          <w:sz w:val="22"/>
          <w:szCs w:val="22"/>
        </w:rPr>
        <w:t xml:space="preserve">Es la cuenta </w:t>
      </w:r>
      <w:r w:rsidR="00D90AA5">
        <w:rPr>
          <w:sz w:val="22"/>
          <w:szCs w:val="22"/>
        </w:rPr>
        <w:t xml:space="preserve">corriente </w:t>
      </w:r>
      <w:r w:rsidR="00D90AA5" w:rsidRPr="00D90AA5">
        <w:rPr>
          <w:sz w:val="22"/>
          <w:szCs w:val="22"/>
        </w:rPr>
        <w:t xml:space="preserve">abierta en </w:t>
      </w:r>
      <w:r w:rsidR="00115E26">
        <w:rPr>
          <w:sz w:val="22"/>
          <w:szCs w:val="22"/>
        </w:rPr>
        <w:t>cada Banco Local por un Fiduciante</w:t>
      </w:r>
      <w:r w:rsidRPr="00D90AA5">
        <w:rPr>
          <w:sz w:val="22"/>
          <w:szCs w:val="22"/>
        </w:rPr>
        <w:t xml:space="preserve">, a la cual se transferirán los importes excedentes de la </w:t>
      </w:r>
      <w:r w:rsidR="00191C8A" w:rsidRPr="00D90AA5">
        <w:rPr>
          <w:sz w:val="22"/>
          <w:szCs w:val="22"/>
        </w:rPr>
        <w:t>Cuenta Especial</w:t>
      </w:r>
      <w:r w:rsidR="00BD48F6" w:rsidRPr="00D90AA5">
        <w:rPr>
          <w:sz w:val="22"/>
          <w:szCs w:val="22"/>
        </w:rPr>
        <w:t>, de corresponder</w:t>
      </w:r>
      <w:r w:rsidRPr="00D90AA5">
        <w:rPr>
          <w:sz w:val="22"/>
          <w:szCs w:val="22"/>
        </w:rPr>
        <w:t>.</w:t>
      </w:r>
    </w:p>
    <w:p w14:paraId="60BDC73B" w14:textId="1F320FC4" w:rsidR="00984100" w:rsidRPr="00C67013" w:rsidRDefault="00984100" w:rsidP="00481933">
      <w:pPr>
        <w:jc w:val="both"/>
        <w:rPr>
          <w:sz w:val="22"/>
          <w:szCs w:val="22"/>
        </w:rPr>
      </w:pPr>
    </w:p>
    <w:p w14:paraId="35B9515E" w14:textId="74A6B032" w:rsidR="00166E79" w:rsidRPr="00D90AA5" w:rsidRDefault="00166E79" w:rsidP="00481933">
      <w:pPr>
        <w:widowControl w:val="0"/>
        <w:suppressAutoHyphens/>
        <w:jc w:val="both"/>
        <w:rPr>
          <w:sz w:val="22"/>
          <w:szCs w:val="22"/>
        </w:rPr>
      </w:pPr>
      <w:r w:rsidRPr="00D90AA5">
        <w:rPr>
          <w:b/>
          <w:sz w:val="22"/>
          <w:szCs w:val="22"/>
        </w:rPr>
        <w:t xml:space="preserve">“Custodio Aduanero”: </w:t>
      </w:r>
      <w:r w:rsidRPr="00D90AA5">
        <w:rPr>
          <w:sz w:val="22"/>
          <w:szCs w:val="22"/>
        </w:rPr>
        <w:t xml:space="preserve">significa la entidad que conforme a lo </w:t>
      </w:r>
      <w:r w:rsidRPr="00C67013">
        <w:rPr>
          <w:sz w:val="22"/>
          <w:szCs w:val="22"/>
        </w:rPr>
        <w:t xml:space="preserve">dispuesto en la </w:t>
      </w:r>
      <w:r w:rsidR="00097E64" w:rsidRPr="00C67013">
        <w:rPr>
          <w:sz w:val="22"/>
          <w:szCs w:val="22"/>
        </w:rPr>
        <w:t xml:space="preserve">resolución </w:t>
      </w:r>
      <w:r w:rsidR="00B906C9" w:rsidRPr="00D90AA5">
        <w:rPr>
          <w:sz w:val="22"/>
          <w:szCs w:val="22"/>
        </w:rPr>
        <w:t>general 2721/09 de la AFIP, como Prestador de Servicios de Archivos y Digitalización</w:t>
      </w:r>
      <w:r w:rsidR="007D0727" w:rsidRPr="00D90AA5">
        <w:rPr>
          <w:sz w:val="22"/>
          <w:szCs w:val="22"/>
        </w:rPr>
        <w:t xml:space="preserve"> </w:t>
      </w:r>
      <w:r w:rsidR="00B906C9" w:rsidRPr="00D90AA5">
        <w:rPr>
          <w:sz w:val="22"/>
          <w:szCs w:val="22"/>
        </w:rPr>
        <w:t xml:space="preserve">habilitado, </w:t>
      </w:r>
      <w:r w:rsidRPr="00D90AA5">
        <w:rPr>
          <w:sz w:val="22"/>
          <w:szCs w:val="22"/>
        </w:rPr>
        <w:t xml:space="preserve">ejerce la custodia obligatoria de toda la documentación relativa a operaciones de exportación, que en la actualidad es la firma </w:t>
      </w:r>
      <w:r w:rsidR="00115E26">
        <w:rPr>
          <w:sz w:val="22"/>
          <w:szCs w:val="22"/>
        </w:rPr>
        <w:t xml:space="preserve">      </w:t>
      </w:r>
      <w:r w:rsidRPr="00D90AA5">
        <w:rPr>
          <w:sz w:val="22"/>
          <w:szCs w:val="22"/>
        </w:rPr>
        <w:t>S.A.</w:t>
      </w:r>
    </w:p>
    <w:p w14:paraId="49D9FC92" w14:textId="77777777" w:rsidR="00481933" w:rsidRPr="00D90AA5" w:rsidRDefault="00481933" w:rsidP="00481933">
      <w:pPr>
        <w:rPr>
          <w:b/>
          <w:sz w:val="22"/>
          <w:szCs w:val="22"/>
        </w:rPr>
      </w:pPr>
    </w:p>
    <w:p w14:paraId="4ABB36FE" w14:textId="476C9AA0" w:rsidR="00984100" w:rsidRPr="00D90AA5" w:rsidRDefault="00984100" w:rsidP="00984100">
      <w:pPr>
        <w:jc w:val="both"/>
        <w:rPr>
          <w:sz w:val="22"/>
          <w:szCs w:val="22"/>
        </w:rPr>
      </w:pPr>
      <w:r w:rsidRPr="00D90AA5">
        <w:rPr>
          <w:b/>
          <w:sz w:val="22"/>
          <w:szCs w:val="22"/>
        </w:rPr>
        <w:t xml:space="preserve">“Documentos de Exportación”: </w:t>
      </w:r>
      <w:r w:rsidR="00F007F3" w:rsidRPr="00D90AA5">
        <w:rPr>
          <w:sz w:val="22"/>
          <w:szCs w:val="22"/>
        </w:rPr>
        <w:t>Respecto de las Facturas Fideicomitidas significa, con relación a cada operación de exportación, (</w:t>
      </w:r>
      <w:r w:rsidR="00B35E35" w:rsidRPr="00D90AA5">
        <w:rPr>
          <w:sz w:val="22"/>
          <w:szCs w:val="22"/>
        </w:rPr>
        <w:t>a</w:t>
      </w:r>
      <w:r w:rsidR="00F007F3" w:rsidRPr="00D90AA5">
        <w:rPr>
          <w:sz w:val="22"/>
          <w:szCs w:val="22"/>
        </w:rPr>
        <w:t>) la Factura Fideicomitida, (</w:t>
      </w:r>
      <w:r w:rsidR="004B4683" w:rsidRPr="00D90AA5">
        <w:rPr>
          <w:sz w:val="22"/>
          <w:szCs w:val="22"/>
        </w:rPr>
        <w:t>b</w:t>
      </w:r>
      <w:r w:rsidR="00F007F3" w:rsidRPr="00D90AA5">
        <w:rPr>
          <w:sz w:val="22"/>
          <w:szCs w:val="22"/>
        </w:rPr>
        <w:t>) el permiso de embarque sellado</w:t>
      </w:r>
      <w:r w:rsidR="007D0727" w:rsidRPr="00D90AA5">
        <w:rPr>
          <w:sz w:val="22"/>
          <w:szCs w:val="22"/>
        </w:rPr>
        <w:t xml:space="preserve"> </w:t>
      </w:r>
      <w:r w:rsidR="00F007F3" w:rsidRPr="00D90AA5">
        <w:rPr>
          <w:sz w:val="22"/>
          <w:szCs w:val="22"/>
        </w:rPr>
        <w:t>por la aduana de San Juan</w:t>
      </w:r>
      <w:r w:rsidR="00981706" w:rsidRPr="00D90AA5">
        <w:rPr>
          <w:sz w:val="22"/>
          <w:szCs w:val="22"/>
        </w:rPr>
        <w:t>.</w:t>
      </w:r>
    </w:p>
    <w:p w14:paraId="5C030C8C" w14:textId="77777777" w:rsidR="00481933" w:rsidRPr="00D90AA5" w:rsidRDefault="00481933" w:rsidP="00481933">
      <w:pPr>
        <w:jc w:val="both"/>
        <w:rPr>
          <w:b/>
          <w:sz w:val="22"/>
          <w:szCs w:val="22"/>
        </w:rPr>
      </w:pPr>
    </w:p>
    <w:p w14:paraId="7C054A2C" w14:textId="649190DF" w:rsidR="00481933" w:rsidRPr="00D90AA5" w:rsidRDefault="00481933" w:rsidP="00481933">
      <w:pPr>
        <w:jc w:val="both"/>
        <w:rPr>
          <w:sz w:val="22"/>
          <w:szCs w:val="22"/>
        </w:rPr>
      </w:pPr>
      <w:r w:rsidRPr="00C67013">
        <w:rPr>
          <w:b/>
          <w:sz w:val="22"/>
          <w:szCs w:val="22"/>
        </w:rPr>
        <w:t>“Requisitos de las</w:t>
      </w:r>
      <w:r w:rsidR="00C55C77" w:rsidRPr="00C67013">
        <w:rPr>
          <w:b/>
          <w:sz w:val="22"/>
          <w:szCs w:val="22"/>
        </w:rPr>
        <w:t xml:space="preserve"> </w:t>
      </w:r>
      <w:r w:rsidRPr="00D90AA5">
        <w:rPr>
          <w:b/>
          <w:sz w:val="22"/>
          <w:szCs w:val="22"/>
        </w:rPr>
        <w:t>Facturas de Exportación</w:t>
      </w:r>
      <w:r w:rsidRPr="00D90AA5">
        <w:rPr>
          <w:sz w:val="22"/>
          <w:szCs w:val="22"/>
        </w:rPr>
        <w:t>”: son las Facturas</w:t>
      </w:r>
      <w:r w:rsidR="00981706" w:rsidRPr="00D90AA5">
        <w:rPr>
          <w:sz w:val="22"/>
          <w:szCs w:val="22"/>
        </w:rPr>
        <w:t xml:space="preserve"> </w:t>
      </w:r>
      <w:r w:rsidRPr="00D90AA5">
        <w:rPr>
          <w:sz w:val="22"/>
          <w:szCs w:val="22"/>
        </w:rPr>
        <w:t xml:space="preserve">emitidas conforme a la normativa aplicable que a la Fecha de Análisis (a) sus deudores son Importadores Elegibles; (b) tales deudores no registren </w:t>
      </w:r>
      <w:r w:rsidR="008455D2" w:rsidRPr="00C67013">
        <w:rPr>
          <w:sz w:val="22"/>
          <w:szCs w:val="22"/>
        </w:rPr>
        <w:t xml:space="preserve">atrasos mayores a 60 días </w:t>
      </w:r>
      <w:r w:rsidRPr="00C67013">
        <w:rPr>
          <w:sz w:val="22"/>
          <w:szCs w:val="22"/>
        </w:rPr>
        <w:t>respecto de Facturas de Exportación anteriores vencidas a la Fe</w:t>
      </w:r>
      <w:r w:rsidRPr="00D90AA5">
        <w:rPr>
          <w:sz w:val="22"/>
          <w:szCs w:val="22"/>
        </w:rPr>
        <w:t>cha de Análisis</w:t>
      </w:r>
      <w:r w:rsidR="004C310A" w:rsidRPr="00C67013">
        <w:rPr>
          <w:sz w:val="22"/>
          <w:szCs w:val="22"/>
        </w:rPr>
        <w:t xml:space="preserve">; (c) considerando la totalidad de Facturas Fideicomitidas pendientes de pago con un Importador Elegible se encuentren dentro del </w:t>
      </w:r>
      <w:r w:rsidR="008455D2" w:rsidRPr="00C67013">
        <w:rPr>
          <w:sz w:val="22"/>
          <w:szCs w:val="22"/>
        </w:rPr>
        <w:t xml:space="preserve">posible </w:t>
      </w:r>
      <w:r w:rsidR="004C310A" w:rsidRPr="00D90AA5">
        <w:rPr>
          <w:sz w:val="22"/>
          <w:szCs w:val="22"/>
        </w:rPr>
        <w:t>límite de cobertura correspondiente bajo el Seguro de Crédito</w:t>
      </w:r>
      <w:r w:rsidR="00010472" w:rsidRPr="00D90AA5">
        <w:rPr>
          <w:sz w:val="22"/>
          <w:szCs w:val="22"/>
        </w:rPr>
        <w:t>; y (d) en su caso, cuenten con la cobertura del Seguro de Carga</w:t>
      </w:r>
      <w:r w:rsidRPr="00D90AA5">
        <w:rPr>
          <w:sz w:val="22"/>
          <w:szCs w:val="22"/>
        </w:rPr>
        <w:t>.</w:t>
      </w:r>
      <w:r w:rsidR="008455D2" w:rsidRPr="00D90AA5">
        <w:rPr>
          <w:sz w:val="22"/>
          <w:szCs w:val="22"/>
        </w:rPr>
        <w:t xml:space="preserve"> Los vencimientos estimados de las Facturas Fideicomitidas deberán guardar relación con el cronograma </w:t>
      </w:r>
      <w:r w:rsidR="00AB115A" w:rsidRPr="00C67013">
        <w:rPr>
          <w:sz w:val="22"/>
          <w:szCs w:val="22"/>
        </w:rPr>
        <w:t>teórico</w:t>
      </w:r>
      <w:r w:rsidR="008455D2" w:rsidRPr="00C67013">
        <w:rPr>
          <w:sz w:val="22"/>
          <w:szCs w:val="22"/>
        </w:rPr>
        <w:t xml:space="preserve"> de pago de los VDF</w:t>
      </w:r>
      <w:r w:rsidR="00862B96" w:rsidRPr="00D90AA5">
        <w:rPr>
          <w:sz w:val="22"/>
          <w:szCs w:val="22"/>
        </w:rPr>
        <w:t>.</w:t>
      </w:r>
    </w:p>
    <w:p w14:paraId="71FB68BA" w14:textId="77777777" w:rsidR="00481933" w:rsidRPr="00D90AA5" w:rsidRDefault="00481933" w:rsidP="00481933">
      <w:pPr>
        <w:jc w:val="both"/>
        <w:rPr>
          <w:b/>
          <w:sz w:val="22"/>
          <w:szCs w:val="22"/>
        </w:rPr>
      </w:pPr>
    </w:p>
    <w:p w14:paraId="54ED9364" w14:textId="374F8A66" w:rsidR="00481933" w:rsidRPr="00D90AA5" w:rsidRDefault="00481933" w:rsidP="00481933">
      <w:pPr>
        <w:jc w:val="both"/>
        <w:rPr>
          <w:sz w:val="22"/>
          <w:szCs w:val="22"/>
        </w:rPr>
      </w:pPr>
      <w:r w:rsidRPr="00D90AA5">
        <w:rPr>
          <w:b/>
          <w:sz w:val="22"/>
          <w:szCs w:val="22"/>
        </w:rPr>
        <w:t>“</w:t>
      </w:r>
      <w:proofErr w:type="spellStart"/>
      <w:r w:rsidRPr="00D90AA5">
        <w:rPr>
          <w:b/>
          <w:sz w:val="22"/>
          <w:szCs w:val="22"/>
        </w:rPr>
        <w:t>Revolving</w:t>
      </w:r>
      <w:proofErr w:type="spellEnd"/>
      <w:r w:rsidRPr="00D90AA5">
        <w:rPr>
          <w:b/>
          <w:sz w:val="22"/>
          <w:szCs w:val="22"/>
        </w:rPr>
        <w:t>”:</w:t>
      </w:r>
      <w:r w:rsidR="00981706" w:rsidRPr="00D90AA5">
        <w:rPr>
          <w:b/>
          <w:sz w:val="22"/>
          <w:szCs w:val="22"/>
        </w:rPr>
        <w:t xml:space="preserve"> </w:t>
      </w:r>
      <w:r w:rsidRPr="00D90AA5">
        <w:rPr>
          <w:sz w:val="22"/>
          <w:szCs w:val="22"/>
        </w:rPr>
        <w:t xml:space="preserve">la sustitución de los Créditos fideicomitidos por nuevos Créditos, con el producido de la Cobranza, conforme al procedimiento establecido en el </w:t>
      </w:r>
      <w:r w:rsidR="00555382">
        <w:rPr>
          <w:sz w:val="22"/>
          <w:szCs w:val="22"/>
        </w:rPr>
        <w:t>Contrato</w:t>
      </w:r>
      <w:r w:rsidRPr="00D90AA5">
        <w:rPr>
          <w:sz w:val="22"/>
          <w:szCs w:val="22"/>
        </w:rPr>
        <w:t>.</w:t>
      </w:r>
    </w:p>
    <w:p w14:paraId="27476535" w14:textId="77777777" w:rsidR="008305D9" w:rsidRPr="00D90AA5" w:rsidRDefault="008305D9" w:rsidP="00481933">
      <w:pPr>
        <w:jc w:val="both"/>
        <w:rPr>
          <w:b/>
          <w:sz w:val="22"/>
          <w:szCs w:val="22"/>
        </w:rPr>
      </w:pPr>
    </w:p>
    <w:p w14:paraId="79026D2E" w14:textId="3DCE969B" w:rsidR="00013DC1" w:rsidRPr="00D90AA5" w:rsidRDefault="009113D4" w:rsidP="00481933">
      <w:pPr>
        <w:jc w:val="both"/>
        <w:rPr>
          <w:sz w:val="22"/>
          <w:szCs w:val="22"/>
        </w:rPr>
      </w:pPr>
      <w:r w:rsidRPr="00D90AA5">
        <w:rPr>
          <w:b/>
          <w:sz w:val="22"/>
          <w:szCs w:val="22"/>
        </w:rPr>
        <w:t>“Seguro de Carga”:</w:t>
      </w:r>
      <w:r w:rsidRPr="00D90AA5">
        <w:rPr>
          <w:sz w:val="22"/>
          <w:szCs w:val="22"/>
        </w:rPr>
        <w:t xml:space="preserve"> significa el seguro de daños contratado por el Fiduciante con </w:t>
      </w:r>
      <w:r w:rsidR="005861F2" w:rsidRPr="00D90AA5">
        <w:rPr>
          <w:sz w:val="22"/>
          <w:szCs w:val="22"/>
        </w:rPr>
        <w:t>la Aseguradora correspondiente</w:t>
      </w:r>
      <w:r w:rsidR="00741C7E" w:rsidRPr="00D90AA5">
        <w:rPr>
          <w:sz w:val="22"/>
          <w:szCs w:val="22"/>
        </w:rPr>
        <w:t>, que cubre hasta un importe determinado por viaje</w:t>
      </w:r>
      <w:r w:rsidR="0095472C" w:rsidRPr="00D90AA5">
        <w:rPr>
          <w:sz w:val="22"/>
          <w:szCs w:val="22"/>
        </w:rPr>
        <w:t xml:space="preserve"> o contenedor</w:t>
      </w:r>
      <w:r w:rsidR="00741C7E" w:rsidRPr="00D90AA5">
        <w:rPr>
          <w:sz w:val="22"/>
          <w:szCs w:val="22"/>
        </w:rPr>
        <w:t xml:space="preserve"> determinados daños y perjuicios respecto de la mercadería</w:t>
      </w:r>
      <w:r w:rsidR="000067E1" w:rsidRPr="00D90AA5">
        <w:rPr>
          <w:sz w:val="22"/>
          <w:szCs w:val="22"/>
        </w:rPr>
        <w:t xml:space="preserve"> transportada.</w:t>
      </w:r>
    </w:p>
    <w:p w14:paraId="6D237020" w14:textId="77777777" w:rsidR="00013DC1" w:rsidRPr="00D90AA5" w:rsidRDefault="00013DC1" w:rsidP="00481933">
      <w:pPr>
        <w:jc w:val="both"/>
        <w:rPr>
          <w:sz w:val="22"/>
          <w:szCs w:val="22"/>
        </w:rPr>
      </w:pPr>
    </w:p>
    <w:p w14:paraId="0391638E" w14:textId="27C5FD0F" w:rsidR="00481933" w:rsidRPr="00D90AA5" w:rsidRDefault="00481933" w:rsidP="00481933">
      <w:pPr>
        <w:jc w:val="both"/>
        <w:rPr>
          <w:sz w:val="22"/>
          <w:szCs w:val="22"/>
        </w:rPr>
      </w:pPr>
      <w:r w:rsidRPr="00D90AA5">
        <w:rPr>
          <w:b/>
          <w:sz w:val="22"/>
          <w:szCs w:val="22"/>
        </w:rPr>
        <w:t>“Seguro de Crédito”:</w:t>
      </w:r>
      <w:r w:rsidRPr="00D90AA5">
        <w:rPr>
          <w:sz w:val="22"/>
          <w:szCs w:val="22"/>
        </w:rPr>
        <w:t xml:space="preserve"> significa el seguro de crédito contratado por el Fiduciante con la Aseguradora</w:t>
      </w:r>
      <w:r w:rsidR="005861F2" w:rsidRPr="00D90AA5">
        <w:rPr>
          <w:sz w:val="22"/>
          <w:szCs w:val="22"/>
        </w:rPr>
        <w:t xml:space="preserve"> correspondiente</w:t>
      </w:r>
      <w:r w:rsidRPr="00D90AA5">
        <w:rPr>
          <w:sz w:val="22"/>
          <w:szCs w:val="22"/>
        </w:rPr>
        <w:t xml:space="preserve">, que cubre por hasta un importe determinado las pérdidas netas que pueda sufrir el </w:t>
      </w:r>
      <w:r w:rsidR="00117B60">
        <w:rPr>
          <w:sz w:val="22"/>
          <w:szCs w:val="22"/>
        </w:rPr>
        <w:t xml:space="preserve">respectivo </w:t>
      </w:r>
      <w:r w:rsidRPr="00D90AA5">
        <w:rPr>
          <w:sz w:val="22"/>
          <w:szCs w:val="22"/>
        </w:rPr>
        <w:t>Fiduciante, como asegurado, a consecuencia directa del no pago de una obligación en dinero, por parte de uno o varios clientes.</w:t>
      </w:r>
    </w:p>
    <w:p w14:paraId="7BA4EFA9" w14:textId="77777777" w:rsidR="00481933" w:rsidRPr="00D90AA5" w:rsidRDefault="00481933" w:rsidP="00481933">
      <w:pPr>
        <w:jc w:val="both"/>
        <w:rPr>
          <w:b/>
          <w:sz w:val="22"/>
          <w:szCs w:val="22"/>
        </w:rPr>
      </w:pPr>
    </w:p>
    <w:p w14:paraId="018B25A0" w14:textId="77777777" w:rsidR="00481933" w:rsidRPr="00D90AA5" w:rsidRDefault="00481933" w:rsidP="00481933">
      <w:pPr>
        <w:jc w:val="both"/>
        <w:rPr>
          <w:b/>
          <w:sz w:val="22"/>
          <w:szCs w:val="22"/>
        </w:rPr>
      </w:pPr>
      <w:r w:rsidRPr="00C67013">
        <w:rPr>
          <w:b/>
          <w:sz w:val="22"/>
          <w:szCs w:val="22"/>
        </w:rPr>
        <w:t>“Servicios”:</w:t>
      </w:r>
      <w:r w:rsidRPr="00C67013">
        <w:rPr>
          <w:sz w:val="22"/>
          <w:szCs w:val="22"/>
        </w:rPr>
        <w:t xml:space="preserve"> los pagos que por distintos conceptos corresponda hacer a los Beneficiarios bajo los términos y condic</w:t>
      </w:r>
      <w:r w:rsidRPr="00D90AA5">
        <w:rPr>
          <w:sz w:val="22"/>
          <w:szCs w:val="22"/>
        </w:rPr>
        <w:t>iones de los Valores de Deuda Fiduciaria.</w:t>
      </w:r>
    </w:p>
    <w:p w14:paraId="522F2F16" w14:textId="77777777" w:rsidR="00481933" w:rsidRPr="00D90AA5" w:rsidRDefault="00481933" w:rsidP="00481933">
      <w:pPr>
        <w:jc w:val="both"/>
        <w:rPr>
          <w:sz w:val="22"/>
          <w:szCs w:val="22"/>
        </w:rPr>
      </w:pPr>
    </w:p>
    <w:p w14:paraId="772E2F2A" w14:textId="6059CAF4" w:rsidR="00481933" w:rsidRPr="00D90AA5" w:rsidRDefault="00481933" w:rsidP="00481933">
      <w:pPr>
        <w:jc w:val="both"/>
        <w:rPr>
          <w:sz w:val="22"/>
          <w:szCs w:val="22"/>
        </w:rPr>
      </w:pPr>
      <w:r w:rsidRPr="00D90AA5">
        <w:rPr>
          <w:b/>
          <w:sz w:val="22"/>
          <w:szCs w:val="22"/>
        </w:rPr>
        <w:t>“</w:t>
      </w:r>
      <w:proofErr w:type="spellStart"/>
      <w:r w:rsidRPr="00D90AA5">
        <w:rPr>
          <w:b/>
          <w:sz w:val="22"/>
          <w:szCs w:val="22"/>
        </w:rPr>
        <w:t>Sobreintegración</w:t>
      </w:r>
      <w:proofErr w:type="spellEnd"/>
      <w:r w:rsidRPr="00D90AA5">
        <w:rPr>
          <w:b/>
          <w:sz w:val="22"/>
          <w:szCs w:val="22"/>
        </w:rPr>
        <w:t xml:space="preserve">”: </w:t>
      </w:r>
      <w:r w:rsidRPr="00D90AA5">
        <w:rPr>
          <w:sz w:val="22"/>
          <w:szCs w:val="22"/>
        </w:rPr>
        <w:t xml:space="preserve">Significa el monto de los Créditos Fideicomitidos en exceso respecto del valor nominal </w:t>
      </w:r>
      <w:r w:rsidR="00230EFA" w:rsidRPr="00D90AA5">
        <w:rPr>
          <w:sz w:val="22"/>
          <w:szCs w:val="22"/>
        </w:rPr>
        <w:t xml:space="preserve">residual </w:t>
      </w:r>
      <w:r w:rsidRPr="00D90AA5">
        <w:rPr>
          <w:sz w:val="22"/>
          <w:szCs w:val="22"/>
        </w:rPr>
        <w:t>de los VDF emitidos.</w:t>
      </w:r>
    </w:p>
    <w:p w14:paraId="5B545E89" w14:textId="77777777" w:rsidR="00117B60" w:rsidRDefault="00117B60" w:rsidP="0074669C">
      <w:pPr>
        <w:autoSpaceDE w:val="0"/>
        <w:autoSpaceDN w:val="0"/>
        <w:adjustRightInd w:val="0"/>
        <w:jc w:val="both"/>
        <w:rPr>
          <w:b/>
          <w:sz w:val="22"/>
          <w:szCs w:val="22"/>
        </w:rPr>
      </w:pPr>
    </w:p>
    <w:p w14:paraId="012AA3CD" w14:textId="465C3B1B" w:rsidR="0074669C" w:rsidRPr="00C67013" w:rsidRDefault="0074669C" w:rsidP="0074669C">
      <w:pPr>
        <w:autoSpaceDE w:val="0"/>
        <w:autoSpaceDN w:val="0"/>
        <w:adjustRightInd w:val="0"/>
        <w:jc w:val="both"/>
        <w:rPr>
          <w:sz w:val="22"/>
          <w:szCs w:val="22"/>
        </w:rPr>
      </w:pPr>
      <w:r w:rsidRPr="00D90AA5">
        <w:rPr>
          <w:b/>
          <w:sz w:val="22"/>
          <w:szCs w:val="22"/>
        </w:rPr>
        <w:t xml:space="preserve">Tipo de Cambio de Integración”: </w:t>
      </w:r>
      <w:r w:rsidRPr="00D90AA5">
        <w:rPr>
          <w:sz w:val="22"/>
          <w:szCs w:val="22"/>
        </w:rPr>
        <w:t xml:space="preserve">Significa el tipo de cambio comprador “divisa” publicado por el Banco de la Nación Argentina el Día Hábil inmediato anterior al cierre del Período de Colocación, a efectos de determinar el contravalor en pesos para la integración del precio de suscripción. </w:t>
      </w:r>
      <w:r w:rsidR="00C82C95" w:rsidRPr="00D90AA5">
        <w:rPr>
          <w:sz w:val="22"/>
          <w:szCs w:val="22"/>
        </w:rPr>
        <w:t>S</w:t>
      </w:r>
      <w:r w:rsidRPr="00D90AA5">
        <w:rPr>
          <w:sz w:val="22"/>
          <w:szCs w:val="22"/>
        </w:rPr>
        <w:t>erá informado mediante el Aviso de Resultado de la Colocación que será publicado en el sitio web de la CNV (</w:t>
      </w:r>
      <w:hyperlink r:id="rId13" w:history="1">
        <w:r w:rsidR="00367FA0" w:rsidRPr="00D90AA5">
          <w:rPr>
            <w:rStyle w:val="Hipervnculo"/>
            <w:sz w:val="22"/>
            <w:szCs w:val="22"/>
          </w:rPr>
          <w:t>www.cnv.gov.ar</w:t>
        </w:r>
      </w:hyperlink>
      <w:r w:rsidRPr="00D90AA5">
        <w:rPr>
          <w:sz w:val="22"/>
          <w:szCs w:val="22"/>
        </w:rPr>
        <w:t xml:space="preserve">) bajo el ítem “Fideicomisos Financieros” y los sistemas de información de los mercados donde negocien los Valores Fiduciarios (el “Aviso </w:t>
      </w:r>
      <w:r w:rsidRPr="00D90AA5">
        <w:rPr>
          <w:sz w:val="22"/>
          <w:szCs w:val="22"/>
        </w:rPr>
        <w:lastRenderedPageBreak/>
        <w:t>de Resultados”). El Fiduciario tendrá a su cargo el cálculo del monto en pesos para integrar los Valores Fiduciarios en función del Tipo de Cambio de Integración</w:t>
      </w:r>
    </w:p>
    <w:p w14:paraId="5BDA9F20" w14:textId="77777777" w:rsidR="0074669C" w:rsidRPr="00C67013" w:rsidRDefault="0074669C" w:rsidP="0074669C">
      <w:pPr>
        <w:autoSpaceDE w:val="0"/>
        <w:autoSpaceDN w:val="0"/>
        <w:adjustRightInd w:val="0"/>
        <w:jc w:val="both"/>
        <w:rPr>
          <w:sz w:val="22"/>
          <w:szCs w:val="22"/>
        </w:rPr>
      </w:pPr>
    </w:p>
    <w:p w14:paraId="6D177C8B" w14:textId="1E7C74B6" w:rsidR="0074669C" w:rsidRPr="00D90AA5" w:rsidRDefault="0074669C" w:rsidP="0074669C">
      <w:pPr>
        <w:autoSpaceDE w:val="0"/>
        <w:autoSpaceDN w:val="0"/>
        <w:adjustRightInd w:val="0"/>
        <w:jc w:val="both"/>
        <w:rPr>
          <w:sz w:val="22"/>
          <w:szCs w:val="22"/>
        </w:rPr>
      </w:pPr>
      <w:r w:rsidRPr="00D90AA5">
        <w:rPr>
          <w:b/>
          <w:sz w:val="22"/>
          <w:szCs w:val="22"/>
        </w:rPr>
        <w:t>“Tipo de Cambio de Pago de Servicios”:</w:t>
      </w:r>
      <w:r w:rsidR="00B63E46" w:rsidRPr="00D90AA5">
        <w:rPr>
          <w:b/>
          <w:sz w:val="22"/>
          <w:szCs w:val="22"/>
        </w:rPr>
        <w:t xml:space="preserve"> </w:t>
      </w:r>
      <w:r w:rsidR="008455D2" w:rsidRPr="00D90AA5">
        <w:rPr>
          <w:sz w:val="22"/>
          <w:szCs w:val="22"/>
          <w:lang w:val="es-ES"/>
        </w:rPr>
        <w:t>El tipo de cambio aplicable que será informado por el Fiduciario a los inversores en el Aviso de Pago, correspondiente al promedio ponderado de la sumatoria de las Cobranzas percibidas en pesos de los Deudores para cancelar las Facturas dur</w:t>
      </w:r>
      <w:r w:rsidR="008455D2" w:rsidRPr="00C67013">
        <w:rPr>
          <w:sz w:val="22"/>
          <w:szCs w:val="22"/>
          <w:lang w:val="es-ES"/>
        </w:rPr>
        <w:t>ante el Período de Recaudación correspondiente, conforme surja del informe mensual del Agente de Control y Revisión.</w:t>
      </w:r>
      <w:r w:rsidR="00F97D83" w:rsidRPr="00C67013">
        <w:t xml:space="preserve"> </w:t>
      </w:r>
      <w:r w:rsidR="00F97D83" w:rsidRPr="00D90AA5">
        <w:rPr>
          <w:sz w:val="22"/>
          <w:szCs w:val="22"/>
          <w:lang w:val="es-ES"/>
        </w:rPr>
        <w:t xml:space="preserve">El tipo de cambio surge del cociente entre dichas Cobranzas percibidas en pesos y su respectivo monto en dólares.   </w:t>
      </w:r>
    </w:p>
    <w:p w14:paraId="3911D7B5" w14:textId="77777777" w:rsidR="00481933" w:rsidRPr="00C67013" w:rsidRDefault="00481933" w:rsidP="00481933">
      <w:pPr>
        <w:autoSpaceDE w:val="0"/>
        <w:autoSpaceDN w:val="0"/>
        <w:adjustRightInd w:val="0"/>
        <w:jc w:val="both"/>
        <w:rPr>
          <w:sz w:val="22"/>
          <w:szCs w:val="22"/>
        </w:rPr>
      </w:pPr>
    </w:p>
    <w:p w14:paraId="7C8D144A" w14:textId="77777777" w:rsidR="00481933" w:rsidRPr="00D90AA5" w:rsidRDefault="00481933" w:rsidP="00481933">
      <w:pPr>
        <w:spacing w:line="240" w:lineRule="atLeast"/>
        <w:jc w:val="both"/>
        <w:rPr>
          <w:sz w:val="22"/>
          <w:szCs w:val="22"/>
        </w:rPr>
      </w:pPr>
      <w:r w:rsidRPr="00C67013">
        <w:rPr>
          <w:b/>
          <w:sz w:val="22"/>
          <w:szCs w:val="22"/>
        </w:rPr>
        <w:t>“VDF”:</w:t>
      </w:r>
      <w:r w:rsidRPr="00D90AA5">
        <w:rPr>
          <w:sz w:val="22"/>
          <w:szCs w:val="22"/>
        </w:rPr>
        <w:t xml:space="preserve"> Los Valores de Deuda Fiduciaria.</w:t>
      </w:r>
    </w:p>
    <w:p w14:paraId="4B505D68" w14:textId="77777777" w:rsidR="00481933" w:rsidRDefault="00481933" w:rsidP="00481933">
      <w:pPr>
        <w:spacing w:line="240" w:lineRule="atLeast"/>
        <w:jc w:val="both"/>
        <w:rPr>
          <w:snapToGrid w:val="0"/>
          <w:color w:val="000000"/>
          <w:sz w:val="22"/>
          <w:szCs w:val="22"/>
        </w:rPr>
      </w:pPr>
    </w:p>
    <w:p w14:paraId="02F77C1F" w14:textId="20456157" w:rsidR="001475F5" w:rsidRDefault="001475F5" w:rsidP="00481933">
      <w:pPr>
        <w:spacing w:line="240" w:lineRule="atLeast"/>
        <w:jc w:val="both"/>
        <w:rPr>
          <w:snapToGrid w:val="0"/>
          <w:color w:val="000000"/>
          <w:sz w:val="22"/>
          <w:szCs w:val="22"/>
          <w:u w:val="single"/>
        </w:rPr>
      </w:pPr>
      <w:r>
        <w:rPr>
          <w:snapToGrid w:val="0"/>
          <w:color w:val="000000"/>
          <w:sz w:val="22"/>
          <w:szCs w:val="22"/>
          <w:u w:val="single"/>
        </w:rPr>
        <w:t>Otros términos y condiciones</w:t>
      </w:r>
    </w:p>
    <w:p w14:paraId="0F829972" w14:textId="77777777" w:rsidR="001475F5" w:rsidRPr="001475F5" w:rsidRDefault="001475F5" w:rsidP="00481933">
      <w:pPr>
        <w:spacing w:line="240" w:lineRule="atLeast"/>
        <w:jc w:val="both"/>
        <w:rPr>
          <w:snapToGrid w:val="0"/>
          <w:color w:val="000000"/>
          <w:sz w:val="22"/>
          <w:szCs w:val="22"/>
          <w:u w:val="single"/>
        </w:rPr>
      </w:pPr>
    </w:p>
    <w:p w14:paraId="000D2CEB" w14:textId="60F07D4A" w:rsidR="00481933" w:rsidRPr="00D90AA5" w:rsidRDefault="000D506F" w:rsidP="00481933">
      <w:pPr>
        <w:jc w:val="both"/>
        <w:rPr>
          <w:sz w:val="22"/>
          <w:szCs w:val="22"/>
        </w:rPr>
      </w:pPr>
      <w:r>
        <w:rPr>
          <w:b/>
          <w:sz w:val="22"/>
          <w:szCs w:val="22"/>
        </w:rPr>
        <w:t>Los</w:t>
      </w:r>
      <w:r w:rsidR="00481933" w:rsidRPr="00D90AA5">
        <w:rPr>
          <w:b/>
          <w:sz w:val="22"/>
          <w:szCs w:val="22"/>
        </w:rPr>
        <w:t xml:space="preserve"> Fiduciante</w:t>
      </w:r>
      <w:r>
        <w:rPr>
          <w:b/>
          <w:sz w:val="22"/>
          <w:szCs w:val="22"/>
        </w:rPr>
        <w:t>s</w:t>
      </w:r>
      <w:r w:rsidR="00481933" w:rsidRPr="00D90AA5">
        <w:rPr>
          <w:b/>
          <w:sz w:val="22"/>
          <w:szCs w:val="22"/>
        </w:rPr>
        <w:t xml:space="preserve"> como </w:t>
      </w:r>
      <w:r w:rsidR="004B49BE" w:rsidRPr="00D90AA5">
        <w:rPr>
          <w:b/>
          <w:sz w:val="22"/>
          <w:szCs w:val="22"/>
        </w:rPr>
        <w:t>Administrador</w:t>
      </w:r>
      <w:r>
        <w:rPr>
          <w:b/>
          <w:sz w:val="22"/>
          <w:szCs w:val="22"/>
        </w:rPr>
        <w:t>es</w:t>
      </w:r>
      <w:r w:rsidR="00D42676" w:rsidRPr="00D90AA5">
        <w:rPr>
          <w:b/>
          <w:sz w:val="22"/>
          <w:szCs w:val="22"/>
        </w:rPr>
        <w:t xml:space="preserve"> y Agente</w:t>
      </w:r>
      <w:r>
        <w:rPr>
          <w:b/>
          <w:sz w:val="22"/>
          <w:szCs w:val="22"/>
        </w:rPr>
        <w:t>s</w:t>
      </w:r>
      <w:r w:rsidR="00D42676" w:rsidRPr="00D90AA5">
        <w:rPr>
          <w:b/>
          <w:sz w:val="22"/>
          <w:szCs w:val="22"/>
        </w:rPr>
        <w:t xml:space="preserve"> de Cobro</w:t>
      </w:r>
      <w:r>
        <w:rPr>
          <w:b/>
          <w:sz w:val="22"/>
          <w:szCs w:val="22"/>
        </w:rPr>
        <w:t xml:space="preserve">. </w:t>
      </w:r>
      <w:r>
        <w:rPr>
          <w:sz w:val="22"/>
          <w:szCs w:val="22"/>
        </w:rPr>
        <w:t>Cada</w:t>
      </w:r>
      <w:r w:rsidR="00481933" w:rsidRPr="00D90AA5">
        <w:rPr>
          <w:sz w:val="22"/>
          <w:szCs w:val="22"/>
        </w:rPr>
        <w:t xml:space="preserve"> Fiduciante tendrá dentro de las funciones que le son propias por el presente, la tarea de cobrar las Facturas </w:t>
      </w:r>
      <w:r w:rsidR="002936CE" w:rsidRPr="00D90AA5">
        <w:rPr>
          <w:sz w:val="22"/>
          <w:szCs w:val="22"/>
        </w:rPr>
        <w:t>Fideicomitidas</w:t>
      </w:r>
      <w:r>
        <w:rPr>
          <w:sz w:val="22"/>
          <w:szCs w:val="22"/>
        </w:rPr>
        <w:t xml:space="preserve"> por él cedidas</w:t>
      </w:r>
      <w:r w:rsidR="00481933" w:rsidRPr="00D90AA5">
        <w:rPr>
          <w:sz w:val="22"/>
          <w:szCs w:val="22"/>
        </w:rPr>
        <w:t xml:space="preserve">, gestionar ante la Aseguradora el pago de la indemnización correspondiente </w:t>
      </w:r>
      <w:r w:rsidR="0073565F" w:rsidRPr="00D90AA5">
        <w:rPr>
          <w:sz w:val="22"/>
          <w:szCs w:val="22"/>
        </w:rPr>
        <w:t>al</w:t>
      </w:r>
      <w:r w:rsidR="00481933" w:rsidRPr="00D90AA5">
        <w:rPr>
          <w:sz w:val="22"/>
          <w:szCs w:val="22"/>
        </w:rPr>
        <w:t xml:space="preserve"> Seguro de Crédito en caso de mora en el pago de una Factura Afectada, </w:t>
      </w:r>
      <w:r w:rsidR="0073565F" w:rsidRPr="00D90AA5">
        <w:rPr>
          <w:sz w:val="22"/>
          <w:szCs w:val="22"/>
        </w:rPr>
        <w:t xml:space="preserve">o al Seguro de Carga en su caso, </w:t>
      </w:r>
      <w:r w:rsidR="002369B7" w:rsidRPr="00D90AA5">
        <w:rPr>
          <w:sz w:val="22"/>
          <w:szCs w:val="22"/>
        </w:rPr>
        <w:t>gestionar ante la/s empresas/transportistas el pago de la indemnización correspondiente según el respectivo Contrato de Transporte en caso de haberse producido un siniestro con la mercadería transportada relativa a Facturas Fideicomitidas</w:t>
      </w:r>
      <w:r w:rsidR="0073565F" w:rsidRPr="00D90AA5">
        <w:rPr>
          <w:sz w:val="22"/>
          <w:szCs w:val="22"/>
        </w:rPr>
        <w:t xml:space="preserve"> no cubierto (o insuficientemente cubierto) por el Seguro de Carga;</w:t>
      </w:r>
      <w:r w:rsidR="002369B7" w:rsidRPr="00D90AA5">
        <w:rPr>
          <w:sz w:val="22"/>
          <w:szCs w:val="22"/>
        </w:rPr>
        <w:t xml:space="preserve"> instruir en tiempo y forma al</w:t>
      </w:r>
      <w:r>
        <w:rPr>
          <w:sz w:val="22"/>
          <w:szCs w:val="22"/>
        </w:rPr>
        <w:t xml:space="preserve"> respectivo</w:t>
      </w:r>
      <w:r w:rsidR="002369B7" w:rsidRPr="00D90AA5">
        <w:rPr>
          <w:sz w:val="22"/>
          <w:szCs w:val="22"/>
        </w:rPr>
        <w:t xml:space="preserve"> Banco Local la liquidación en el mercado de cambios de las divisas provenientes de la Cobranza y su transferencia a la Cuenta Especial, </w:t>
      </w:r>
      <w:r w:rsidR="00481933" w:rsidRPr="00D90AA5">
        <w:rPr>
          <w:sz w:val="22"/>
          <w:szCs w:val="22"/>
        </w:rPr>
        <w:t xml:space="preserve">y asistir al Fiduciario en todo lo relativo a la información y cobranza de los Créditos, contemplando el interés de los Beneficiarios y actuando siempre bajo el patrón del buen hombre de negocios, todo ello en atención a que el Fiduciante cuenta con la información sobre los Créditos y los conocimientos, experiencia y la capacidad de gestión y organización adecuada para asistir al Fiduciario en sus funciones. </w:t>
      </w:r>
    </w:p>
    <w:p w14:paraId="1651F1F1" w14:textId="77777777" w:rsidR="00481933" w:rsidRPr="00D90AA5" w:rsidRDefault="00481933" w:rsidP="00481933">
      <w:pPr>
        <w:widowControl w:val="0"/>
        <w:suppressAutoHyphens/>
        <w:jc w:val="both"/>
        <w:rPr>
          <w:sz w:val="22"/>
          <w:szCs w:val="22"/>
        </w:rPr>
      </w:pPr>
    </w:p>
    <w:p w14:paraId="60BB6F55" w14:textId="4735BD70" w:rsidR="004F0F63" w:rsidRPr="00D90AA5" w:rsidRDefault="00C3674F" w:rsidP="00481933">
      <w:pPr>
        <w:spacing w:line="240" w:lineRule="atLeast"/>
        <w:jc w:val="both"/>
        <w:rPr>
          <w:sz w:val="22"/>
          <w:szCs w:val="22"/>
        </w:rPr>
      </w:pPr>
      <w:r w:rsidRPr="00D90AA5">
        <w:rPr>
          <w:b/>
          <w:color w:val="000000"/>
          <w:sz w:val="22"/>
          <w:szCs w:val="22"/>
          <w:lang w:val="es-ES"/>
        </w:rPr>
        <w:t xml:space="preserve">Sustitución de </w:t>
      </w:r>
      <w:r w:rsidR="00481933" w:rsidRPr="00D90AA5">
        <w:rPr>
          <w:b/>
          <w:sz w:val="22"/>
          <w:szCs w:val="22"/>
        </w:rPr>
        <w:t xml:space="preserve">Facturas </w:t>
      </w:r>
      <w:r w:rsidR="002936CE" w:rsidRPr="00D90AA5">
        <w:rPr>
          <w:b/>
          <w:sz w:val="22"/>
          <w:szCs w:val="22"/>
        </w:rPr>
        <w:t>Fideicomitidas</w:t>
      </w:r>
      <w:r w:rsidR="00481933" w:rsidRPr="00D90AA5">
        <w:rPr>
          <w:b/>
          <w:sz w:val="22"/>
          <w:szCs w:val="22"/>
        </w:rPr>
        <w:t xml:space="preserve">. </w:t>
      </w:r>
      <w:r w:rsidR="004F0F63" w:rsidRPr="00D90AA5">
        <w:rPr>
          <w:b/>
          <w:sz w:val="22"/>
          <w:szCs w:val="22"/>
        </w:rPr>
        <w:t xml:space="preserve">A. </w:t>
      </w:r>
      <w:r w:rsidR="000D506F">
        <w:rPr>
          <w:sz w:val="22"/>
          <w:szCs w:val="22"/>
        </w:rPr>
        <w:t>Cada</w:t>
      </w:r>
      <w:r w:rsidR="00481933" w:rsidRPr="00D90AA5">
        <w:rPr>
          <w:sz w:val="22"/>
          <w:szCs w:val="22"/>
        </w:rPr>
        <w:t xml:space="preserve"> Fiduciante, con autorización del Fiduciario, el cual no podrá negarse irrazonablemente, podrá reemplazar Facturas </w:t>
      </w:r>
      <w:r w:rsidR="00115C8B" w:rsidRPr="00D90AA5">
        <w:rPr>
          <w:sz w:val="22"/>
          <w:szCs w:val="22"/>
        </w:rPr>
        <w:t>Fideicomitidas</w:t>
      </w:r>
      <w:r w:rsidR="000D506F">
        <w:rPr>
          <w:sz w:val="22"/>
          <w:szCs w:val="22"/>
        </w:rPr>
        <w:t xml:space="preserve"> por él cedidas</w:t>
      </w:r>
      <w:r w:rsidR="00481933" w:rsidRPr="00D90AA5">
        <w:rPr>
          <w:sz w:val="22"/>
          <w:szCs w:val="22"/>
        </w:rPr>
        <w:t>.</w:t>
      </w:r>
      <w:r w:rsidRPr="00D90AA5">
        <w:rPr>
          <w:sz w:val="22"/>
          <w:szCs w:val="22"/>
        </w:rPr>
        <w:t xml:space="preserve"> Si fuera por causa de mora, la sustitución deberá efectivizarse dentro de los cinco Días Hábiles subsiguientes a tomar conocimiento de la mora</w:t>
      </w:r>
      <w:r w:rsidR="001A12F5" w:rsidRPr="00D90AA5">
        <w:rPr>
          <w:sz w:val="22"/>
          <w:szCs w:val="22"/>
        </w:rPr>
        <w:t>, o en igual término acreditar el inicio de las gestiones de cobro ante la Aseguradora por el Seguro de Crédito.</w:t>
      </w:r>
    </w:p>
    <w:p w14:paraId="11AB0658" w14:textId="2BB06EC0" w:rsidR="004F0F63" w:rsidRPr="00C67013" w:rsidRDefault="004F0F63" w:rsidP="00481933">
      <w:pPr>
        <w:spacing w:line="240" w:lineRule="atLeast"/>
        <w:jc w:val="both"/>
        <w:rPr>
          <w:sz w:val="22"/>
          <w:szCs w:val="22"/>
        </w:rPr>
      </w:pPr>
      <w:r w:rsidRPr="00D90AA5">
        <w:rPr>
          <w:b/>
          <w:sz w:val="22"/>
          <w:szCs w:val="22"/>
        </w:rPr>
        <w:t>B.</w:t>
      </w:r>
      <w:r w:rsidRPr="00D90AA5">
        <w:rPr>
          <w:sz w:val="22"/>
          <w:szCs w:val="22"/>
        </w:rPr>
        <w:t xml:space="preserve"> En el caso de</w:t>
      </w:r>
      <w:r w:rsidR="00115C8B" w:rsidRPr="00D90AA5">
        <w:rPr>
          <w:sz w:val="22"/>
          <w:szCs w:val="22"/>
        </w:rPr>
        <w:t xml:space="preserve"> Facturas </w:t>
      </w:r>
      <w:r w:rsidR="004B49BE" w:rsidRPr="00D90AA5">
        <w:rPr>
          <w:sz w:val="22"/>
          <w:szCs w:val="22"/>
        </w:rPr>
        <w:t xml:space="preserve">Fideicomitidas </w:t>
      </w:r>
      <w:r w:rsidR="00115C8B" w:rsidRPr="00D90AA5">
        <w:rPr>
          <w:sz w:val="22"/>
          <w:szCs w:val="22"/>
        </w:rPr>
        <w:t xml:space="preserve">en las cuales por cualquier circunstancia no se hubiera producido en tiempo y forma la entrega de la mercadería al o su puesta a disposición del </w:t>
      </w:r>
      <w:r w:rsidR="00C3674F" w:rsidRPr="00D90AA5">
        <w:rPr>
          <w:sz w:val="22"/>
          <w:szCs w:val="22"/>
        </w:rPr>
        <w:t>i</w:t>
      </w:r>
      <w:r w:rsidR="00115C8B" w:rsidRPr="00D90AA5">
        <w:rPr>
          <w:sz w:val="22"/>
          <w:szCs w:val="22"/>
        </w:rPr>
        <w:t>mportador, deberá informarlo a más tardar el Día Hábil siguiente al Fiduciario, y dentro de los c</w:t>
      </w:r>
      <w:r w:rsidR="00C3674F" w:rsidRPr="00D90AA5">
        <w:rPr>
          <w:sz w:val="22"/>
          <w:szCs w:val="22"/>
        </w:rPr>
        <w:t>inco</w:t>
      </w:r>
      <w:r w:rsidR="00115C8B" w:rsidRPr="00D90AA5">
        <w:rPr>
          <w:sz w:val="22"/>
          <w:szCs w:val="22"/>
        </w:rPr>
        <w:t xml:space="preserve"> Días Hábiles subsiguientes</w:t>
      </w:r>
      <w:r w:rsidR="00C865F0" w:rsidRPr="00D90AA5">
        <w:rPr>
          <w:sz w:val="22"/>
          <w:szCs w:val="22"/>
        </w:rPr>
        <w:t xml:space="preserve"> (i) sustituir</w:t>
      </w:r>
      <w:r w:rsidR="00115C8B" w:rsidRPr="00D90AA5">
        <w:rPr>
          <w:sz w:val="22"/>
          <w:szCs w:val="22"/>
        </w:rPr>
        <w:t xml:space="preserve"> las </w:t>
      </w:r>
      <w:r w:rsidR="00C3674F" w:rsidRPr="00D90AA5">
        <w:rPr>
          <w:sz w:val="22"/>
          <w:szCs w:val="22"/>
        </w:rPr>
        <w:t>F</w:t>
      </w:r>
      <w:r w:rsidR="00115C8B" w:rsidRPr="00D90AA5">
        <w:rPr>
          <w:sz w:val="22"/>
          <w:szCs w:val="22"/>
        </w:rPr>
        <w:t>acturas afectadas por otra</w:t>
      </w:r>
      <w:r w:rsidR="002D59F4" w:rsidRPr="00D90AA5">
        <w:rPr>
          <w:sz w:val="22"/>
          <w:szCs w:val="22"/>
        </w:rPr>
        <w:t>s</w:t>
      </w:r>
      <w:r w:rsidR="00115C8B" w:rsidRPr="00D90AA5">
        <w:rPr>
          <w:sz w:val="22"/>
          <w:szCs w:val="22"/>
        </w:rPr>
        <w:t xml:space="preserve"> Facturas de Exportación</w:t>
      </w:r>
      <w:r w:rsidR="00C865F0" w:rsidRPr="00D90AA5">
        <w:rPr>
          <w:sz w:val="22"/>
          <w:szCs w:val="22"/>
        </w:rPr>
        <w:t xml:space="preserve">, </w:t>
      </w:r>
      <w:r w:rsidR="001A12F5" w:rsidRPr="00D90AA5">
        <w:rPr>
          <w:sz w:val="22"/>
          <w:szCs w:val="22"/>
        </w:rPr>
        <w:t>o</w:t>
      </w:r>
      <w:r w:rsidR="00C865F0" w:rsidRPr="00D90AA5">
        <w:rPr>
          <w:sz w:val="22"/>
          <w:szCs w:val="22"/>
        </w:rPr>
        <w:t xml:space="preserve"> (ii)</w:t>
      </w:r>
      <w:r w:rsidR="001A12F5" w:rsidRPr="00D90AA5">
        <w:rPr>
          <w:sz w:val="22"/>
          <w:szCs w:val="22"/>
        </w:rPr>
        <w:t xml:space="preserve"> acreditar el inicio de las gestiones de cobro ante la Aseguradora por el Seguro de Carga</w:t>
      </w:r>
      <w:r w:rsidR="00115C8B" w:rsidRPr="00C67013">
        <w:rPr>
          <w:sz w:val="22"/>
          <w:szCs w:val="22"/>
        </w:rPr>
        <w:t xml:space="preserve">. </w:t>
      </w:r>
    </w:p>
    <w:p w14:paraId="7C8C10C0" w14:textId="73B14395" w:rsidR="008A0D07" w:rsidRPr="00D90AA5" w:rsidRDefault="00115C8B" w:rsidP="00481933">
      <w:pPr>
        <w:spacing w:line="240" w:lineRule="atLeast"/>
        <w:jc w:val="both"/>
        <w:rPr>
          <w:sz w:val="22"/>
          <w:szCs w:val="22"/>
        </w:rPr>
      </w:pPr>
      <w:r w:rsidRPr="00C67013">
        <w:rPr>
          <w:b/>
          <w:sz w:val="22"/>
          <w:szCs w:val="22"/>
        </w:rPr>
        <w:t>C.</w:t>
      </w:r>
      <w:r w:rsidR="00481933" w:rsidRPr="00D90AA5">
        <w:rPr>
          <w:sz w:val="22"/>
          <w:szCs w:val="22"/>
        </w:rPr>
        <w:t xml:space="preserve"> </w:t>
      </w:r>
      <w:r w:rsidR="008A0D07" w:rsidRPr="00D90AA5">
        <w:rPr>
          <w:sz w:val="22"/>
          <w:szCs w:val="22"/>
        </w:rPr>
        <w:t xml:space="preserve">En el caso que una Factura Fideicomitida no </w:t>
      </w:r>
      <w:r w:rsidR="00AD6DAF" w:rsidRPr="00D90AA5">
        <w:rPr>
          <w:sz w:val="22"/>
          <w:szCs w:val="22"/>
        </w:rPr>
        <w:t>fuer</w:t>
      </w:r>
      <w:r w:rsidR="008A0D07" w:rsidRPr="00D90AA5">
        <w:rPr>
          <w:sz w:val="22"/>
          <w:szCs w:val="22"/>
        </w:rPr>
        <w:t xml:space="preserve">a pagada </w:t>
      </w:r>
      <w:r w:rsidR="00AD6DAF" w:rsidRPr="00D90AA5">
        <w:rPr>
          <w:sz w:val="22"/>
          <w:szCs w:val="22"/>
        </w:rPr>
        <w:t xml:space="preserve">en todo o en parte – o su pago en la fecha de vencimiento correspondiente fuera dudoso - </w:t>
      </w:r>
      <w:r w:rsidR="008A0D07" w:rsidRPr="00D90AA5">
        <w:rPr>
          <w:sz w:val="22"/>
          <w:szCs w:val="22"/>
        </w:rPr>
        <w:t>en virtud de un embargo u otra medida judicial o administrativa ejecutiva o cautelar, que implique desconocer la validez u oponibilidad de la notificación de la cesión fiduciaria de la misma</w:t>
      </w:r>
      <w:r w:rsidR="00AD6DAF" w:rsidRPr="00D90AA5">
        <w:rPr>
          <w:sz w:val="22"/>
          <w:szCs w:val="22"/>
        </w:rPr>
        <w:t xml:space="preserve">, el Fiduciante </w:t>
      </w:r>
      <w:r w:rsidR="000D506F">
        <w:rPr>
          <w:sz w:val="22"/>
          <w:szCs w:val="22"/>
        </w:rPr>
        <w:t xml:space="preserve">respectivo </w:t>
      </w:r>
      <w:r w:rsidR="00AD6DAF" w:rsidRPr="00D90AA5">
        <w:rPr>
          <w:sz w:val="22"/>
          <w:szCs w:val="22"/>
        </w:rPr>
        <w:t>deberá informarlo a más tardar el Día Hábil siguiente de tomar conocimiento al Fiduciario, y dentro de los cinco Días Hábiles subsiguientes (i) sustituir la Factura afectada, o (ii) en la fecha de vencimiento correspondiente, pagar el importe afectado mediante transferencia a la Cuenta Fiduciaria.</w:t>
      </w:r>
    </w:p>
    <w:p w14:paraId="691F181C" w14:textId="727A996C" w:rsidR="00481933" w:rsidRPr="00D90AA5" w:rsidRDefault="008A0D07" w:rsidP="00481933">
      <w:pPr>
        <w:spacing w:line="240" w:lineRule="atLeast"/>
        <w:jc w:val="both"/>
        <w:rPr>
          <w:sz w:val="22"/>
          <w:szCs w:val="22"/>
        </w:rPr>
      </w:pPr>
      <w:r w:rsidRPr="00D90AA5">
        <w:rPr>
          <w:b/>
          <w:sz w:val="22"/>
          <w:szCs w:val="22"/>
        </w:rPr>
        <w:t xml:space="preserve">D. </w:t>
      </w:r>
      <w:r w:rsidR="00481933" w:rsidRPr="00D90AA5">
        <w:rPr>
          <w:sz w:val="22"/>
          <w:szCs w:val="22"/>
        </w:rPr>
        <w:t>En tal</w:t>
      </w:r>
      <w:r w:rsidR="00C3674F" w:rsidRPr="00D90AA5">
        <w:rPr>
          <w:sz w:val="22"/>
          <w:szCs w:val="22"/>
        </w:rPr>
        <w:t>es</w:t>
      </w:r>
      <w:r w:rsidR="00481933" w:rsidRPr="00D90AA5">
        <w:rPr>
          <w:sz w:val="22"/>
          <w:szCs w:val="22"/>
        </w:rPr>
        <w:t xml:space="preserve"> caso</w:t>
      </w:r>
      <w:r w:rsidR="001A12F5" w:rsidRPr="00D90AA5">
        <w:rPr>
          <w:sz w:val="22"/>
          <w:szCs w:val="22"/>
        </w:rPr>
        <w:t>s</w:t>
      </w:r>
      <w:r w:rsidR="00481933" w:rsidRPr="00D90AA5">
        <w:rPr>
          <w:sz w:val="22"/>
          <w:szCs w:val="22"/>
        </w:rPr>
        <w:t xml:space="preserve"> el Fiduciante</w:t>
      </w:r>
      <w:r w:rsidR="000D506F">
        <w:rPr>
          <w:sz w:val="22"/>
          <w:szCs w:val="22"/>
        </w:rPr>
        <w:t xml:space="preserve"> correspondiente</w:t>
      </w:r>
      <w:r w:rsidR="00481933" w:rsidRPr="00D90AA5">
        <w:rPr>
          <w:sz w:val="22"/>
          <w:szCs w:val="22"/>
        </w:rPr>
        <w:t xml:space="preserve"> </w:t>
      </w:r>
      <w:proofErr w:type="spellStart"/>
      <w:r w:rsidR="00481933" w:rsidRPr="00D90AA5">
        <w:rPr>
          <w:sz w:val="22"/>
          <w:szCs w:val="22"/>
        </w:rPr>
        <w:t>fideicomitirá</w:t>
      </w:r>
      <w:proofErr w:type="spellEnd"/>
      <w:r w:rsidR="00481933" w:rsidRPr="00D90AA5">
        <w:rPr>
          <w:sz w:val="22"/>
          <w:szCs w:val="22"/>
        </w:rPr>
        <w:t xml:space="preserve"> Facturas de Exportación que cumplan con los Requisitos de las Facturas de Exportación por un </w:t>
      </w:r>
      <w:r w:rsidR="002D59F4" w:rsidRPr="00D90AA5">
        <w:rPr>
          <w:sz w:val="22"/>
          <w:szCs w:val="22"/>
        </w:rPr>
        <w:t>i</w:t>
      </w:r>
      <w:r w:rsidR="00481933" w:rsidRPr="00D90AA5">
        <w:rPr>
          <w:sz w:val="22"/>
          <w:szCs w:val="22"/>
        </w:rPr>
        <w:t>mporte</w:t>
      </w:r>
      <w:r w:rsidR="00792A2A" w:rsidRPr="00D90AA5">
        <w:rPr>
          <w:sz w:val="22"/>
          <w:szCs w:val="22"/>
        </w:rPr>
        <w:t xml:space="preserve"> </w:t>
      </w:r>
      <w:r w:rsidR="00481933" w:rsidRPr="00D90AA5">
        <w:rPr>
          <w:sz w:val="22"/>
          <w:szCs w:val="22"/>
        </w:rPr>
        <w:t xml:space="preserve">que no podrá ser menor al valor contable de las Facturas </w:t>
      </w:r>
      <w:r w:rsidR="002936CE" w:rsidRPr="00D90AA5">
        <w:rPr>
          <w:sz w:val="22"/>
          <w:szCs w:val="22"/>
        </w:rPr>
        <w:t>Fideicomitidas</w:t>
      </w:r>
      <w:r w:rsidR="00481933" w:rsidRPr="00D90AA5">
        <w:rPr>
          <w:sz w:val="22"/>
          <w:szCs w:val="22"/>
        </w:rPr>
        <w:t xml:space="preserve"> que se reemplacen.</w:t>
      </w:r>
    </w:p>
    <w:p w14:paraId="68ECE893" w14:textId="77777777" w:rsidR="00481933" w:rsidRPr="00D90AA5" w:rsidRDefault="00481933" w:rsidP="00481933">
      <w:pPr>
        <w:jc w:val="both"/>
        <w:rPr>
          <w:b/>
          <w:sz w:val="22"/>
          <w:szCs w:val="22"/>
        </w:rPr>
      </w:pPr>
    </w:p>
    <w:p w14:paraId="63A339A6" w14:textId="6A97806B" w:rsidR="00481933" w:rsidRPr="00D90AA5" w:rsidRDefault="00481933" w:rsidP="00481933">
      <w:pPr>
        <w:spacing w:line="240" w:lineRule="atLeast"/>
        <w:jc w:val="both"/>
        <w:rPr>
          <w:b/>
          <w:sz w:val="22"/>
          <w:szCs w:val="22"/>
        </w:rPr>
      </w:pPr>
      <w:r w:rsidRPr="00D90AA5">
        <w:rPr>
          <w:b/>
          <w:sz w:val="22"/>
          <w:szCs w:val="22"/>
        </w:rPr>
        <w:t xml:space="preserve">Adelantos de fondos. </w:t>
      </w:r>
      <w:r w:rsidR="000D506F">
        <w:rPr>
          <w:sz w:val="22"/>
          <w:szCs w:val="22"/>
        </w:rPr>
        <w:t>Cada</w:t>
      </w:r>
      <w:r w:rsidRPr="00D90AA5">
        <w:rPr>
          <w:sz w:val="22"/>
          <w:szCs w:val="22"/>
        </w:rPr>
        <w:t xml:space="preserve"> Fiduciante se reserva la facultad, a su solo criterio y discreción, de adelantar fondos al Fideicomiso a fin de mantener el Flujo de Fondos Teórico de los Créditos</w:t>
      </w:r>
      <w:r w:rsidR="000D506F">
        <w:rPr>
          <w:sz w:val="22"/>
          <w:szCs w:val="22"/>
        </w:rPr>
        <w:t xml:space="preserve"> por él cedidos</w:t>
      </w:r>
      <w:r w:rsidRPr="00D90AA5">
        <w:rPr>
          <w:sz w:val="22"/>
          <w:szCs w:val="22"/>
        </w:rPr>
        <w:t>. Dichos adelantos no serán remunerados y serán reintegrados cuando se obtuviera la regularización del Flujo de Fondos Teórico de los Créditos.</w:t>
      </w:r>
    </w:p>
    <w:p w14:paraId="07E784E0" w14:textId="77777777" w:rsidR="00481933" w:rsidRPr="00D90AA5" w:rsidRDefault="00481933" w:rsidP="00481933">
      <w:pPr>
        <w:spacing w:line="240" w:lineRule="atLeast"/>
        <w:jc w:val="both"/>
        <w:rPr>
          <w:b/>
          <w:sz w:val="22"/>
          <w:szCs w:val="22"/>
        </w:rPr>
      </w:pPr>
    </w:p>
    <w:sectPr w:rsidR="00481933" w:rsidRPr="00D90AA5" w:rsidSect="000E2401">
      <w:headerReference w:type="default" r:id="rId14"/>
      <w:footerReference w:type="even" r:id="rId15"/>
      <w:footerReference w:type="default" r:id="rId16"/>
      <w:headerReference w:type="first" r:id="rId17"/>
      <w:pgSz w:w="11907" w:h="16840" w:code="9"/>
      <w:pgMar w:top="624" w:right="851" w:bottom="624" w:left="1134" w:header="680" w:footer="68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yC" w:date="2021-03-03T15:21:00Z" w:initials="NyC">
    <w:p w14:paraId="2AAF645D" w14:textId="59D4455F" w:rsidR="00F41EE3" w:rsidRDefault="00F41EE3">
      <w:pPr>
        <w:pStyle w:val="Textocomentario"/>
      </w:pPr>
      <w:r>
        <w:rPr>
          <w:rStyle w:val="Refdecomentario"/>
        </w:rPr>
        <w:annotationRef/>
      </w:r>
      <w:r>
        <w:t>ESTO EN EL CASO QUE EXISTA UN SEGURO DE CRÉDITO (COFACE, ETC.)</w:t>
      </w:r>
    </w:p>
  </w:comment>
  <w:comment w:id="2" w:author="NyC" w:date="2021-03-03T15:24:00Z" w:initials="NyC">
    <w:p w14:paraId="420BC757" w14:textId="104415F8" w:rsidR="005E3BC3" w:rsidRDefault="005E3BC3">
      <w:pPr>
        <w:pStyle w:val="Textocomentario"/>
      </w:pPr>
      <w:r>
        <w:rPr>
          <w:rStyle w:val="Refdecomentario"/>
        </w:rPr>
        <w:annotationRef/>
      </w:r>
      <w:r>
        <w:t>SI NO PUDIERA CUMPLIRSE CON EL REQUISITO DE COBERTURA EN RAZÓN DE QUE ALGÚN/UNOS FIDUCIANTES NO TUVIERAN NUEVS FACTURAS PARA FIDEICOMITIR, DEBERÍA ADELANTARSE EL PAGO DE SERVICIOS DE LOS VDF EN LA PROPORCIÓN CORRESPONDIENTE</w:t>
      </w:r>
    </w:p>
  </w:comment>
  <w:comment w:id="3" w:author="NyC" w:date="2021-03-03T15:26:00Z" w:initials="NyC">
    <w:p w14:paraId="4116ECBD" w14:textId="1C59B777" w:rsidR="00504FC8" w:rsidRDefault="00504FC8">
      <w:pPr>
        <w:pStyle w:val="Textocomentario"/>
      </w:pPr>
      <w:r>
        <w:rPr>
          <w:rStyle w:val="Refdecomentario"/>
        </w:rPr>
        <w:annotationRef/>
      </w:r>
      <w:r>
        <w:t>SI SE EMITE UNA SOLA CLASE, ESTA PROPORCIÓN DEBERÍA RONDAR EL 75%</w:t>
      </w:r>
    </w:p>
  </w:comment>
  <w:comment w:id="4" w:author="NyC" w:date="2021-03-03T15:25:00Z" w:initials="NyC">
    <w:p w14:paraId="6D933FE1" w14:textId="2947C32A" w:rsidR="00504FC8" w:rsidRDefault="00504FC8">
      <w:pPr>
        <w:pStyle w:val="Textocomentario"/>
      </w:pPr>
      <w:r>
        <w:rPr>
          <w:rStyle w:val="Refdecomentario"/>
        </w:rPr>
        <w:annotationRef/>
      </w:r>
      <w:r>
        <w:t>DETERMINAR LA CONVENIENCIA DE EMITIR UNA CLASE SUBORDINADA.</w:t>
      </w:r>
    </w:p>
  </w:comment>
  <w:comment w:id="5" w:author="NyC" w:date="2021-03-03T15:28:00Z" w:initials="NyC">
    <w:p w14:paraId="619D1411" w14:textId="5E660A9C" w:rsidR="00504FC8" w:rsidRDefault="00504FC8">
      <w:pPr>
        <w:pStyle w:val="Textocomentario"/>
      </w:pPr>
      <w:r>
        <w:rPr>
          <w:rStyle w:val="Refdecomentario"/>
        </w:rPr>
        <w:annotationRef/>
      </w:r>
      <w:r>
        <w:t>ESTA SOBREGARANTIA REPRESENTA EL % INDICADO EN EL APARTADO 15.</w:t>
      </w:r>
    </w:p>
  </w:comment>
  <w:comment w:id="6" w:author="NyC" w:date="2021-03-03T15:29:00Z" w:initials="NyC">
    <w:p w14:paraId="2FC67BB9" w14:textId="3247FFAF" w:rsidR="007E2E8B" w:rsidRDefault="007E2E8B">
      <w:pPr>
        <w:pStyle w:val="Textocomentario"/>
      </w:pPr>
      <w:r>
        <w:rPr>
          <w:rStyle w:val="Refdecomentario"/>
        </w:rPr>
        <w:annotationRef/>
      </w:r>
      <w:r>
        <w:t>ÍDEM ANTERIOR</w:t>
      </w:r>
    </w:p>
  </w:comment>
  <w:comment w:id="7" w:author="NyC" w:date="2021-03-03T15:30:00Z" w:initials="NyC">
    <w:p w14:paraId="0F28B5BE" w14:textId="3404C5CB" w:rsidR="007E2E8B" w:rsidRDefault="007E2E8B">
      <w:pPr>
        <w:pStyle w:val="Textocomentario"/>
      </w:pPr>
      <w:r>
        <w:rPr>
          <w:rStyle w:val="Refdecomentario"/>
        </w:rPr>
        <w:annotationRef/>
      </w:r>
      <w:r>
        <w:t>ESTO DEPENDERÁ DE LA PERIODICIDAD DE PAGO DE SERVICIOS: MENSUAL O TRIMESTRAL, CON O SIN PERÍODO DE GRACIA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AF645D" w15:done="0"/>
  <w15:commentEx w15:paraId="420BC757" w15:done="0"/>
  <w15:commentEx w15:paraId="4116ECBD" w15:done="0"/>
  <w15:commentEx w15:paraId="6D933FE1" w15:done="0"/>
  <w15:commentEx w15:paraId="619D1411" w15:done="0"/>
  <w15:commentEx w15:paraId="2FC67BB9" w15:done="0"/>
  <w15:commentEx w15:paraId="0F28B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1655" w16cex:dateUtc="2020-10-0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F645D" w16cid:durableId="23F5DA1C"/>
  <w16cid:commentId w16cid:paraId="420BC757" w16cid:durableId="23F5DA1D"/>
  <w16cid:commentId w16cid:paraId="4116ECBD" w16cid:durableId="23F5DA1E"/>
  <w16cid:commentId w16cid:paraId="6D933FE1" w16cid:durableId="23F5DA1F"/>
  <w16cid:commentId w16cid:paraId="619D1411" w16cid:durableId="23F5DA20"/>
  <w16cid:commentId w16cid:paraId="2FC67BB9" w16cid:durableId="23F5DA21"/>
  <w16cid:commentId w16cid:paraId="0F28B5BE" w16cid:durableId="23F5D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DC0BC" w14:textId="77777777" w:rsidR="001B23F1" w:rsidRDefault="001B23F1" w:rsidP="00481933">
      <w:r>
        <w:separator/>
      </w:r>
    </w:p>
  </w:endnote>
  <w:endnote w:type="continuationSeparator" w:id="0">
    <w:p w14:paraId="0CBBD21C" w14:textId="77777777" w:rsidR="001B23F1" w:rsidRDefault="001B23F1" w:rsidP="0048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abon 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7FAF" w14:textId="77777777" w:rsidR="003A6B7C" w:rsidRDefault="003A6B7C">
    <w:pPr>
      <w:pStyle w:val="Piedepgina"/>
      <w:framePr w:wrap="around" w:vAnchor="text" w:hAnchor="margin" w:xAlign="right" w:y="1"/>
      <w:rPr>
        <w:rStyle w:val="Nmerodepgina"/>
        <w:sz w:val="25"/>
        <w:szCs w:val="25"/>
      </w:rPr>
    </w:pPr>
    <w:r>
      <w:rPr>
        <w:rStyle w:val="Nmerodepgina"/>
        <w:sz w:val="25"/>
        <w:szCs w:val="25"/>
      </w:rPr>
      <w:fldChar w:fldCharType="begin"/>
    </w:r>
    <w:r>
      <w:rPr>
        <w:rStyle w:val="Nmerodepgina"/>
        <w:sz w:val="25"/>
        <w:szCs w:val="25"/>
      </w:rPr>
      <w:instrText xml:space="preserve">PAGE  </w:instrText>
    </w:r>
    <w:r>
      <w:rPr>
        <w:rStyle w:val="Nmerodepgina"/>
        <w:sz w:val="25"/>
        <w:szCs w:val="25"/>
      </w:rPr>
      <w:fldChar w:fldCharType="end"/>
    </w:r>
  </w:p>
  <w:p w14:paraId="65E732E4" w14:textId="77777777" w:rsidR="003A6B7C" w:rsidRDefault="003A6B7C">
    <w:pPr>
      <w:pStyle w:val="Piedepgina"/>
      <w:ind w:right="360"/>
      <w:rPr>
        <w:sz w:val="25"/>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3173C" w14:textId="35997FB2" w:rsidR="003A6B7C" w:rsidRPr="000B6FC0" w:rsidRDefault="003A6B7C">
    <w:pPr>
      <w:pStyle w:val="Piedepgina"/>
      <w:framePr w:wrap="around" w:vAnchor="text" w:hAnchor="margin" w:xAlign="right" w:y="1"/>
      <w:rPr>
        <w:rStyle w:val="Nmerodepgina"/>
        <w:rFonts w:ascii="Times New Roman" w:hAnsi="Times New Roman"/>
        <w:sz w:val="16"/>
        <w:szCs w:val="16"/>
      </w:rPr>
    </w:pPr>
    <w:r w:rsidRPr="000B6FC0">
      <w:rPr>
        <w:rStyle w:val="Nmerodepgina"/>
        <w:rFonts w:ascii="Times New Roman" w:hAnsi="Times New Roman"/>
        <w:sz w:val="16"/>
        <w:szCs w:val="16"/>
      </w:rPr>
      <w:fldChar w:fldCharType="begin"/>
    </w:r>
    <w:r w:rsidRPr="000B6FC0">
      <w:rPr>
        <w:rStyle w:val="Nmerodepgina"/>
        <w:rFonts w:ascii="Times New Roman" w:hAnsi="Times New Roman"/>
        <w:sz w:val="16"/>
        <w:szCs w:val="16"/>
      </w:rPr>
      <w:instrText xml:space="preserve">PAGE  </w:instrText>
    </w:r>
    <w:r w:rsidRPr="000B6FC0">
      <w:rPr>
        <w:rStyle w:val="Nmerodepgina"/>
        <w:rFonts w:ascii="Times New Roman" w:hAnsi="Times New Roman"/>
        <w:sz w:val="16"/>
        <w:szCs w:val="16"/>
      </w:rPr>
      <w:fldChar w:fldCharType="separate"/>
    </w:r>
    <w:r w:rsidR="00D2183C">
      <w:rPr>
        <w:rStyle w:val="Nmerodepgina"/>
        <w:rFonts w:ascii="Times New Roman" w:hAnsi="Times New Roman"/>
        <w:noProof/>
        <w:sz w:val="16"/>
        <w:szCs w:val="16"/>
      </w:rPr>
      <w:t>5</w:t>
    </w:r>
    <w:r w:rsidRPr="000B6FC0">
      <w:rPr>
        <w:rStyle w:val="Nmerodepgina"/>
        <w:rFonts w:ascii="Times New Roman" w:hAnsi="Times New Roman"/>
        <w:sz w:val="16"/>
        <w:szCs w:val="16"/>
      </w:rPr>
      <w:fldChar w:fldCharType="end"/>
    </w:r>
  </w:p>
  <w:p w14:paraId="2C8F624B" w14:textId="77777777" w:rsidR="003A6B7C" w:rsidRPr="000B6FC0" w:rsidRDefault="003A6B7C" w:rsidP="000E2401">
    <w:pPr>
      <w:pStyle w:val="Piedepgina"/>
      <w:ind w:right="360"/>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77F9" w14:textId="77777777" w:rsidR="001B23F1" w:rsidRDefault="001B23F1" w:rsidP="00481933">
      <w:r>
        <w:separator/>
      </w:r>
    </w:p>
  </w:footnote>
  <w:footnote w:type="continuationSeparator" w:id="0">
    <w:p w14:paraId="7DD09C98" w14:textId="77777777" w:rsidR="001B23F1" w:rsidRDefault="001B23F1" w:rsidP="0048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FA02" w14:textId="639CCB85" w:rsidR="003A6B7C" w:rsidRDefault="003A6B7C">
    <w:pPr>
      <w:pStyle w:val="Encabezado"/>
    </w:pPr>
    <w:r>
      <w:t xml:space="preserve">Borrador </w:t>
    </w:r>
    <w:r w:rsidR="00672C30">
      <w:t>9</w:t>
    </w:r>
    <w:r>
      <w:t>-3-21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982F" w14:textId="77777777" w:rsidR="003A6B7C" w:rsidRDefault="003A6B7C">
    <w:pPr>
      <w:pStyle w:val="Encabezado"/>
      <w:rPr>
        <w:b/>
        <w:sz w:val="21"/>
        <w:szCs w:val="21"/>
      </w:rPr>
    </w:pPr>
    <w:r>
      <w:rPr>
        <w:b/>
        <w:sz w:val="21"/>
        <w:szCs w:val="21"/>
      </w:rPr>
      <w:t>Versión 11-6-01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2A8"/>
    <w:multiLevelType w:val="hybridMultilevel"/>
    <w:tmpl w:val="7164A34A"/>
    <w:lvl w:ilvl="0" w:tplc="0C0A0011">
      <w:start w:val="1"/>
      <w:numFmt w:val="decimal"/>
      <w:lvlText w:val="%1)"/>
      <w:lvlJc w:val="left"/>
      <w:pPr>
        <w:ind w:left="643"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58209FF"/>
    <w:multiLevelType w:val="hybridMultilevel"/>
    <w:tmpl w:val="37DA30D6"/>
    <w:lvl w:ilvl="0" w:tplc="5E80D96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8540AA"/>
    <w:multiLevelType w:val="multilevel"/>
    <w:tmpl w:val="198ED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D361B2"/>
    <w:multiLevelType w:val="hybridMultilevel"/>
    <w:tmpl w:val="B98A8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D0F72"/>
    <w:multiLevelType w:val="hybridMultilevel"/>
    <w:tmpl w:val="A156C788"/>
    <w:lvl w:ilvl="0" w:tplc="DB7232EA">
      <w:start w:val="2"/>
      <w:numFmt w:val="upperLetter"/>
      <w:lvlText w:val="%1."/>
      <w:lvlJc w:val="left"/>
      <w:pPr>
        <w:ind w:left="720" w:hanging="360"/>
      </w:pPr>
      <w:rPr>
        <w:rFonts w:hint="default"/>
        <w:b/>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1230F59"/>
    <w:multiLevelType w:val="hybridMultilevel"/>
    <w:tmpl w:val="00B46744"/>
    <w:lvl w:ilvl="0" w:tplc="7C08D07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274326B"/>
    <w:multiLevelType w:val="hybridMultilevel"/>
    <w:tmpl w:val="D15A1652"/>
    <w:lvl w:ilvl="0" w:tplc="D7C2BBBC">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7" w15:restartNumberingAfterBreak="0">
    <w:nsid w:val="128D56E7"/>
    <w:multiLevelType w:val="hybridMultilevel"/>
    <w:tmpl w:val="75022C56"/>
    <w:lvl w:ilvl="0" w:tplc="C96266F6">
      <w:start w:val="2"/>
      <w:numFmt w:val="upperLetter"/>
      <w:lvlText w:val="%1."/>
      <w:lvlJc w:val="left"/>
      <w:pPr>
        <w:ind w:left="720" w:hanging="360"/>
      </w:pPr>
      <w:rPr>
        <w:rFonts w:hint="default"/>
        <w:b/>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2D52733"/>
    <w:multiLevelType w:val="multilevel"/>
    <w:tmpl w:val="FA5C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8872A7"/>
    <w:multiLevelType w:val="hybridMultilevel"/>
    <w:tmpl w:val="CD54CD8A"/>
    <w:lvl w:ilvl="0" w:tplc="4BE6219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490125D"/>
    <w:multiLevelType w:val="hybridMultilevel"/>
    <w:tmpl w:val="7D7A58D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15:restartNumberingAfterBreak="0">
    <w:nsid w:val="157C6429"/>
    <w:multiLevelType w:val="hybridMultilevel"/>
    <w:tmpl w:val="9B0C843A"/>
    <w:lvl w:ilvl="0" w:tplc="A476BDC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DEE6DFA"/>
    <w:multiLevelType w:val="hybridMultilevel"/>
    <w:tmpl w:val="DE749D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07430FC"/>
    <w:multiLevelType w:val="hybridMultilevel"/>
    <w:tmpl w:val="7F181C7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5" w15:restartNumberingAfterBreak="0">
    <w:nsid w:val="22CB6C4A"/>
    <w:multiLevelType w:val="hybridMultilevel"/>
    <w:tmpl w:val="71AC598C"/>
    <w:lvl w:ilvl="0" w:tplc="8BCED240">
      <w:start w:val="2"/>
      <w:numFmt w:val="upperLetter"/>
      <w:lvlText w:val="%1."/>
      <w:lvlJc w:val="left"/>
      <w:pPr>
        <w:ind w:left="720" w:hanging="360"/>
      </w:pPr>
      <w:rPr>
        <w:rFonts w:hint="default"/>
        <w:b/>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45225F9"/>
    <w:multiLevelType w:val="multilevel"/>
    <w:tmpl w:val="F3663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5E44CE"/>
    <w:multiLevelType w:val="multilevel"/>
    <w:tmpl w:val="C3DC4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91448A"/>
    <w:multiLevelType w:val="hybridMultilevel"/>
    <w:tmpl w:val="52B8C36E"/>
    <w:lvl w:ilvl="0" w:tplc="FFFFFFFF">
      <w:start w:val="1"/>
      <w:numFmt w:val="lowerLetter"/>
      <w:lvlText w:val="(%1)"/>
      <w:lvlJc w:val="left"/>
      <w:pPr>
        <w:tabs>
          <w:tab w:val="num" w:pos="357"/>
        </w:tabs>
        <w:ind w:firstLine="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AA3909"/>
    <w:multiLevelType w:val="hybridMultilevel"/>
    <w:tmpl w:val="CCB86168"/>
    <w:lvl w:ilvl="0" w:tplc="3F90F9AC">
      <w:start w:val="2"/>
      <w:numFmt w:val="upperLetter"/>
      <w:lvlText w:val="%1."/>
      <w:lvlJc w:val="left"/>
      <w:pPr>
        <w:ind w:left="720" w:hanging="360"/>
      </w:pPr>
      <w:rPr>
        <w:rFonts w:hint="default"/>
        <w:b/>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00E519E"/>
    <w:multiLevelType w:val="hybridMultilevel"/>
    <w:tmpl w:val="BE008746"/>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1" w15:restartNumberingAfterBreak="0">
    <w:nsid w:val="33F5059B"/>
    <w:multiLevelType w:val="hybridMultilevel"/>
    <w:tmpl w:val="8762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DA64B0E"/>
    <w:multiLevelType w:val="hybridMultilevel"/>
    <w:tmpl w:val="54B4D15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552C6"/>
    <w:multiLevelType w:val="hybridMultilevel"/>
    <w:tmpl w:val="F95C07A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5742745"/>
    <w:multiLevelType w:val="hybridMultilevel"/>
    <w:tmpl w:val="8DA45586"/>
    <w:lvl w:ilvl="0" w:tplc="768673BE">
      <w:start w:val="1"/>
      <w:numFmt w:val="decimal"/>
      <w:lvlText w:val="%1."/>
      <w:lvlJc w:val="left"/>
      <w:pPr>
        <w:ind w:left="720" w:hanging="360"/>
      </w:pPr>
      <w:rPr>
        <w:rFonts w:eastAsia="Calibri"/>
        <w:color w:val="595959" w:themeColor="text1" w:themeTint="A6"/>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5" w15:restartNumberingAfterBreak="0">
    <w:nsid w:val="4AC362BA"/>
    <w:multiLevelType w:val="hybridMultilevel"/>
    <w:tmpl w:val="3006D170"/>
    <w:lvl w:ilvl="0" w:tplc="326CAD20">
      <w:start w:val="1"/>
      <w:numFmt w:val="decimal"/>
      <w:lvlText w:val="%1."/>
      <w:lvlJc w:val="left"/>
      <w:pPr>
        <w:ind w:left="720" w:hanging="360"/>
      </w:pPr>
      <w:rPr>
        <w:rFonts w:eastAsia="Calibri"/>
        <w:color w:val="595959" w:themeColor="text1" w:themeTint="A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CE36C44"/>
    <w:multiLevelType w:val="hybridMultilevel"/>
    <w:tmpl w:val="7F181C7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F9A7BCB"/>
    <w:multiLevelType w:val="multilevel"/>
    <w:tmpl w:val="BCA8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C41C9"/>
    <w:multiLevelType w:val="hybridMultilevel"/>
    <w:tmpl w:val="E30ABC8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9" w15:restartNumberingAfterBreak="0">
    <w:nsid w:val="523878B8"/>
    <w:multiLevelType w:val="hybridMultilevel"/>
    <w:tmpl w:val="7504AA08"/>
    <w:lvl w:ilvl="0" w:tplc="9B6E35F6">
      <w:start w:val="6"/>
      <w:numFmt w:val="decimal"/>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0" w15:restartNumberingAfterBreak="0">
    <w:nsid w:val="52E26DDB"/>
    <w:multiLevelType w:val="singleLevel"/>
    <w:tmpl w:val="972276E6"/>
    <w:lvl w:ilvl="0">
      <w:start w:val="1"/>
      <w:numFmt w:val="upperRoman"/>
      <w:lvlText w:val="%1."/>
      <w:lvlJc w:val="left"/>
      <w:pPr>
        <w:tabs>
          <w:tab w:val="num" w:pos="720"/>
        </w:tabs>
        <w:ind w:left="720" w:hanging="720"/>
      </w:pPr>
      <w:rPr>
        <w:rFonts w:cs="Times New Roman" w:hint="default"/>
        <w:b/>
      </w:rPr>
    </w:lvl>
  </w:abstractNum>
  <w:abstractNum w:abstractNumId="31" w15:restartNumberingAfterBreak="0">
    <w:nsid w:val="540C16ED"/>
    <w:multiLevelType w:val="hybridMultilevel"/>
    <w:tmpl w:val="49C6AA9C"/>
    <w:lvl w:ilvl="0" w:tplc="2CC62A32">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2" w15:restartNumberingAfterBreak="0">
    <w:nsid w:val="596D70D9"/>
    <w:multiLevelType w:val="multilevel"/>
    <w:tmpl w:val="2AFC4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3E49AD"/>
    <w:multiLevelType w:val="hybridMultilevel"/>
    <w:tmpl w:val="CDD2A33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4" w15:restartNumberingAfterBreak="0">
    <w:nsid w:val="5F1A26C4"/>
    <w:multiLevelType w:val="multilevel"/>
    <w:tmpl w:val="CCDE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EF50BB"/>
    <w:multiLevelType w:val="hybridMultilevel"/>
    <w:tmpl w:val="DF02D9D0"/>
    <w:lvl w:ilvl="0" w:tplc="2C0A0015">
      <w:start w:val="1"/>
      <w:numFmt w:val="upperLetter"/>
      <w:lvlText w:val="%1."/>
      <w:lvlJc w:val="left"/>
      <w:pPr>
        <w:ind w:left="5183" w:hanging="360"/>
      </w:pPr>
    </w:lvl>
    <w:lvl w:ilvl="1" w:tplc="2C0A0019" w:tentative="1">
      <w:start w:val="1"/>
      <w:numFmt w:val="lowerLetter"/>
      <w:lvlText w:val="%2."/>
      <w:lvlJc w:val="left"/>
      <w:pPr>
        <w:ind w:left="5903" w:hanging="360"/>
      </w:pPr>
    </w:lvl>
    <w:lvl w:ilvl="2" w:tplc="2C0A001B" w:tentative="1">
      <w:start w:val="1"/>
      <w:numFmt w:val="lowerRoman"/>
      <w:lvlText w:val="%3."/>
      <w:lvlJc w:val="right"/>
      <w:pPr>
        <w:ind w:left="6623" w:hanging="180"/>
      </w:pPr>
    </w:lvl>
    <w:lvl w:ilvl="3" w:tplc="2C0A000F" w:tentative="1">
      <w:start w:val="1"/>
      <w:numFmt w:val="decimal"/>
      <w:lvlText w:val="%4."/>
      <w:lvlJc w:val="left"/>
      <w:pPr>
        <w:ind w:left="7343" w:hanging="360"/>
      </w:pPr>
    </w:lvl>
    <w:lvl w:ilvl="4" w:tplc="2C0A0019" w:tentative="1">
      <w:start w:val="1"/>
      <w:numFmt w:val="lowerLetter"/>
      <w:lvlText w:val="%5."/>
      <w:lvlJc w:val="left"/>
      <w:pPr>
        <w:ind w:left="8063" w:hanging="360"/>
      </w:pPr>
    </w:lvl>
    <w:lvl w:ilvl="5" w:tplc="2C0A001B" w:tentative="1">
      <w:start w:val="1"/>
      <w:numFmt w:val="lowerRoman"/>
      <w:lvlText w:val="%6."/>
      <w:lvlJc w:val="right"/>
      <w:pPr>
        <w:ind w:left="8783" w:hanging="180"/>
      </w:pPr>
    </w:lvl>
    <w:lvl w:ilvl="6" w:tplc="2C0A000F" w:tentative="1">
      <w:start w:val="1"/>
      <w:numFmt w:val="decimal"/>
      <w:lvlText w:val="%7."/>
      <w:lvlJc w:val="left"/>
      <w:pPr>
        <w:ind w:left="9503" w:hanging="360"/>
      </w:pPr>
    </w:lvl>
    <w:lvl w:ilvl="7" w:tplc="2C0A0019" w:tentative="1">
      <w:start w:val="1"/>
      <w:numFmt w:val="lowerLetter"/>
      <w:lvlText w:val="%8."/>
      <w:lvlJc w:val="left"/>
      <w:pPr>
        <w:ind w:left="10223" w:hanging="360"/>
      </w:pPr>
    </w:lvl>
    <w:lvl w:ilvl="8" w:tplc="2C0A001B" w:tentative="1">
      <w:start w:val="1"/>
      <w:numFmt w:val="lowerRoman"/>
      <w:lvlText w:val="%9."/>
      <w:lvlJc w:val="right"/>
      <w:pPr>
        <w:ind w:left="10943" w:hanging="180"/>
      </w:pPr>
    </w:lvl>
  </w:abstractNum>
  <w:abstractNum w:abstractNumId="36" w15:restartNumberingAfterBreak="0">
    <w:nsid w:val="63FF0553"/>
    <w:multiLevelType w:val="hybridMultilevel"/>
    <w:tmpl w:val="805234F6"/>
    <w:lvl w:ilvl="0" w:tplc="A1388882">
      <w:start w:val="2"/>
      <w:numFmt w:val="upperLetter"/>
      <w:lvlText w:val="%1."/>
      <w:lvlJc w:val="left"/>
      <w:pPr>
        <w:ind w:left="720" w:hanging="360"/>
      </w:pPr>
      <w:rPr>
        <w:rFonts w:hint="default"/>
        <w:b/>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56E7760"/>
    <w:multiLevelType w:val="hybridMultilevel"/>
    <w:tmpl w:val="17649A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80D79A4"/>
    <w:multiLevelType w:val="hybridMultilevel"/>
    <w:tmpl w:val="98E8A0A0"/>
    <w:lvl w:ilvl="0" w:tplc="D7C2BBBC">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BCD62C8"/>
    <w:multiLevelType w:val="hybridMultilevel"/>
    <w:tmpl w:val="13A605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7B37D9"/>
    <w:multiLevelType w:val="hybridMultilevel"/>
    <w:tmpl w:val="BE3A50E4"/>
    <w:lvl w:ilvl="0" w:tplc="2C0A000F">
      <w:start w:val="1"/>
      <w:numFmt w:val="decimal"/>
      <w:lvlText w:val="%1."/>
      <w:lvlJc w:val="left"/>
      <w:pPr>
        <w:ind w:left="72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9E061D7"/>
    <w:multiLevelType w:val="hybridMultilevel"/>
    <w:tmpl w:val="4C5002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F122936"/>
    <w:multiLevelType w:val="hybridMultilevel"/>
    <w:tmpl w:val="77462D4A"/>
    <w:lvl w:ilvl="0" w:tplc="D7C2BBBC">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9"/>
  </w:num>
  <w:num w:numId="4">
    <w:abstractNumId w:val="16"/>
  </w:num>
  <w:num w:numId="5">
    <w:abstractNumId w:val="22"/>
  </w:num>
  <w:num w:numId="6">
    <w:abstractNumId w:val="38"/>
  </w:num>
  <w:num w:numId="7">
    <w:abstractNumId w:val="6"/>
  </w:num>
  <w:num w:numId="8">
    <w:abstractNumId w:val="42"/>
  </w:num>
  <w:num w:numId="9">
    <w:abstractNumId w:val="32"/>
  </w:num>
  <w:num w:numId="10">
    <w:abstractNumId w:val="17"/>
  </w:num>
  <w:num w:numId="11">
    <w:abstractNumId w:val="2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7"/>
  </w:num>
  <w:num w:numId="24">
    <w:abstractNumId w:val="1"/>
  </w:num>
  <w:num w:numId="25">
    <w:abstractNumId w:val="14"/>
  </w:num>
  <w:num w:numId="26">
    <w:abstractNumId w:val="34"/>
  </w:num>
  <w:num w:numId="27">
    <w:abstractNumId w:val="12"/>
  </w:num>
  <w:num w:numId="28">
    <w:abstractNumId w:val="37"/>
  </w:num>
  <w:num w:numId="29">
    <w:abstractNumId w:val="3"/>
  </w:num>
  <w:num w:numId="30">
    <w:abstractNumId w:val="26"/>
  </w:num>
  <w:num w:numId="31">
    <w:abstractNumId w:val="4"/>
  </w:num>
  <w:num w:numId="32">
    <w:abstractNumId w:val="19"/>
  </w:num>
  <w:num w:numId="33">
    <w:abstractNumId w:val="7"/>
  </w:num>
  <w:num w:numId="34">
    <w:abstractNumId w:val="15"/>
  </w:num>
  <w:num w:numId="35">
    <w:abstractNumId w:val="36"/>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40"/>
  </w:num>
  <w:num w:numId="39">
    <w:abstractNumId w:val="9"/>
  </w:num>
  <w:num w:numId="40">
    <w:abstractNumId w:val="31"/>
  </w:num>
  <w:num w:numId="41">
    <w:abstractNumId w:val="5"/>
  </w:num>
  <w:num w:numId="42">
    <w:abstractNumId w:val="41"/>
  </w:num>
  <w:num w:numId="43">
    <w:abstractNumId w:val="13"/>
  </w:num>
  <w:num w:numId="44">
    <w:abstractNumId w:val="29"/>
  </w:num>
  <w:num w:numId="45">
    <w:abstractNumId w:val="11"/>
  </w:num>
  <w:num w:numId="46">
    <w:abstractNumId w:val="35"/>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5"/>
  </w:num>
  <w:num w:numId="50">
    <w:abstractNumId w:val="23"/>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A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33"/>
    <w:rsid w:val="0000019D"/>
    <w:rsid w:val="00000259"/>
    <w:rsid w:val="000045FA"/>
    <w:rsid w:val="000058F9"/>
    <w:rsid w:val="000067E1"/>
    <w:rsid w:val="000074AF"/>
    <w:rsid w:val="00010472"/>
    <w:rsid w:val="00013DC1"/>
    <w:rsid w:val="0001421A"/>
    <w:rsid w:val="000148C4"/>
    <w:rsid w:val="00014ABA"/>
    <w:rsid w:val="00015DA5"/>
    <w:rsid w:val="000164F2"/>
    <w:rsid w:val="00020BEF"/>
    <w:rsid w:val="00024996"/>
    <w:rsid w:val="00026609"/>
    <w:rsid w:val="0003466A"/>
    <w:rsid w:val="00036E80"/>
    <w:rsid w:val="00041C1D"/>
    <w:rsid w:val="000473FC"/>
    <w:rsid w:val="00056FEE"/>
    <w:rsid w:val="000622EB"/>
    <w:rsid w:val="00076A76"/>
    <w:rsid w:val="000800F9"/>
    <w:rsid w:val="000841D0"/>
    <w:rsid w:val="00084C98"/>
    <w:rsid w:val="00090A90"/>
    <w:rsid w:val="00090CEF"/>
    <w:rsid w:val="00092D6D"/>
    <w:rsid w:val="000936A8"/>
    <w:rsid w:val="00094AE8"/>
    <w:rsid w:val="00097E64"/>
    <w:rsid w:val="000A046F"/>
    <w:rsid w:val="000B0277"/>
    <w:rsid w:val="000B5445"/>
    <w:rsid w:val="000B6B3D"/>
    <w:rsid w:val="000B7DCD"/>
    <w:rsid w:val="000C38CD"/>
    <w:rsid w:val="000C424A"/>
    <w:rsid w:val="000C4508"/>
    <w:rsid w:val="000C5171"/>
    <w:rsid w:val="000D01AA"/>
    <w:rsid w:val="000D0356"/>
    <w:rsid w:val="000D15FC"/>
    <w:rsid w:val="000D4AC4"/>
    <w:rsid w:val="000D506F"/>
    <w:rsid w:val="000D5D9C"/>
    <w:rsid w:val="000D6FCC"/>
    <w:rsid w:val="000E024D"/>
    <w:rsid w:val="000E222C"/>
    <w:rsid w:val="000E2401"/>
    <w:rsid w:val="000E32E8"/>
    <w:rsid w:val="000E5DB6"/>
    <w:rsid w:val="000E6909"/>
    <w:rsid w:val="000F0CFE"/>
    <w:rsid w:val="000F1FE7"/>
    <w:rsid w:val="000F24A4"/>
    <w:rsid w:val="000F24F1"/>
    <w:rsid w:val="000F29CB"/>
    <w:rsid w:val="000F6A7F"/>
    <w:rsid w:val="000F75B0"/>
    <w:rsid w:val="00101B6A"/>
    <w:rsid w:val="00115C8B"/>
    <w:rsid w:val="00115E26"/>
    <w:rsid w:val="00117646"/>
    <w:rsid w:val="001179B8"/>
    <w:rsid w:val="00117B60"/>
    <w:rsid w:val="0012344F"/>
    <w:rsid w:val="00123BC3"/>
    <w:rsid w:val="00126B56"/>
    <w:rsid w:val="00135CFA"/>
    <w:rsid w:val="001364B2"/>
    <w:rsid w:val="00140036"/>
    <w:rsid w:val="00140D14"/>
    <w:rsid w:val="00145C44"/>
    <w:rsid w:val="001468C5"/>
    <w:rsid w:val="001475F5"/>
    <w:rsid w:val="00147ECF"/>
    <w:rsid w:val="00150B95"/>
    <w:rsid w:val="001517F9"/>
    <w:rsid w:val="0015244F"/>
    <w:rsid w:val="001539E9"/>
    <w:rsid w:val="00156905"/>
    <w:rsid w:val="0015705C"/>
    <w:rsid w:val="0016008E"/>
    <w:rsid w:val="00166E79"/>
    <w:rsid w:val="00167D6F"/>
    <w:rsid w:val="001753D1"/>
    <w:rsid w:val="00191C8A"/>
    <w:rsid w:val="001A12F5"/>
    <w:rsid w:val="001A1638"/>
    <w:rsid w:val="001B13B6"/>
    <w:rsid w:val="001B215D"/>
    <w:rsid w:val="001B23F1"/>
    <w:rsid w:val="001B34C2"/>
    <w:rsid w:val="001B3E73"/>
    <w:rsid w:val="001B505B"/>
    <w:rsid w:val="001C051C"/>
    <w:rsid w:val="001C368C"/>
    <w:rsid w:val="001C4AC0"/>
    <w:rsid w:val="001C6F1E"/>
    <w:rsid w:val="001D0B1F"/>
    <w:rsid w:val="001D2F39"/>
    <w:rsid w:val="001D4452"/>
    <w:rsid w:val="001D4E49"/>
    <w:rsid w:val="001D7FBB"/>
    <w:rsid w:val="001F6A35"/>
    <w:rsid w:val="0020181B"/>
    <w:rsid w:val="00201FD7"/>
    <w:rsid w:val="002028DD"/>
    <w:rsid w:val="002030AB"/>
    <w:rsid w:val="00207286"/>
    <w:rsid w:val="0021354D"/>
    <w:rsid w:val="002145CF"/>
    <w:rsid w:val="00217079"/>
    <w:rsid w:val="00222BB7"/>
    <w:rsid w:val="00225EF9"/>
    <w:rsid w:val="002260DC"/>
    <w:rsid w:val="00227CC8"/>
    <w:rsid w:val="00230C52"/>
    <w:rsid w:val="00230EFA"/>
    <w:rsid w:val="00231B3E"/>
    <w:rsid w:val="00234033"/>
    <w:rsid w:val="002369B7"/>
    <w:rsid w:val="00237318"/>
    <w:rsid w:val="002408B9"/>
    <w:rsid w:val="00241E52"/>
    <w:rsid w:val="00243A49"/>
    <w:rsid w:val="002509C9"/>
    <w:rsid w:val="00253637"/>
    <w:rsid w:val="00260512"/>
    <w:rsid w:val="00260A12"/>
    <w:rsid w:val="00262454"/>
    <w:rsid w:val="00263584"/>
    <w:rsid w:val="00265FF8"/>
    <w:rsid w:val="0026712D"/>
    <w:rsid w:val="00267C7F"/>
    <w:rsid w:val="002771B0"/>
    <w:rsid w:val="002904DF"/>
    <w:rsid w:val="002936CE"/>
    <w:rsid w:val="002A1B19"/>
    <w:rsid w:val="002A2A05"/>
    <w:rsid w:val="002A59CB"/>
    <w:rsid w:val="002A7B40"/>
    <w:rsid w:val="002B012B"/>
    <w:rsid w:val="002C236F"/>
    <w:rsid w:val="002C3060"/>
    <w:rsid w:val="002D0A02"/>
    <w:rsid w:val="002D1C54"/>
    <w:rsid w:val="002D59F4"/>
    <w:rsid w:val="002E0786"/>
    <w:rsid w:val="002E184F"/>
    <w:rsid w:val="002E2B58"/>
    <w:rsid w:val="002E6093"/>
    <w:rsid w:val="002F4C17"/>
    <w:rsid w:val="002F5E43"/>
    <w:rsid w:val="002F7B88"/>
    <w:rsid w:val="00303310"/>
    <w:rsid w:val="00303BAE"/>
    <w:rsid w:val="00306A23"/>
    <w:rsid w:val="003071D9"/>
    <w:rsid w:val="003076D2"/>
    <w:rsid w:val="00317A15"/>
    <w:rsid w:val="00326645"/>
    <w:rsid w:val="00331BF8"/>
    <w:rsid w:val="00334D6F"/>
    <w:rsid w:val="00335866"/>
    <w:rsid w:val="00335E9D"/>
    <w:rsid w:val="00340364"/>
    <w:rsid w:val="00344215"/>
    <w:rsid w:val="00345A2A"/>
    <w:rsid w:val="00345AB6"/>
    <w:rsid w:val="00346358"/>
    <w:rsid w:val="003633DD"/>
    <w:rsid w:val="00364957"/>
    <w:rsid w:val="00365153"/>
    <w:rsid w:val="0036529F"/>
    <w:rsid w:val="003669E2"/>
    <w:rsid w:val="00367FA0"/>
    <w:rsid w:val="003706AE"/>
    <w:rsid w:val="00370C56"/>
    <w:rsid w:val="00373121"/>
    <w:rsid w:val="00373360"/>
    <w:rsid w:val="00375469"/>
    <w:rsid w:val="0039127A"/>
    <w:rsid w:val="003935E2"/>
    <w:rsid w:val="00393B66"/>
    <w:rsid w:val="003964D5"/>
    <w:rsid w:val="003969B6"/>
    <w:rsid w:val="003A0DCF"/>
    <w:rsid w:val="003A29C3"/>
    <w:rsid w:val="003A5342"/>
    <w:rsid w:val="003A6B7C"/>
    <w:rsid w:val="003B299F"/>
    <w:rsid w:val="003B316E"/>
    <w:rsid w:val="003B770B"/>
    <w:rsid w:val="003C1BE4"/>
    <w:rsid w:val="003C6E6D"/>
    <w:rsid w:val="003C746A"/>
    <w:rsid w:val="003D23DD"/>
    <w:rsid w:val="003D25A8"/>
    <w:rsid w:val="003D2A0D"/>
    <w:rsid w:val="003D3831"/>
    <w:rsid w:val="003D47BC"/>
    <w:rsid w:val="003E04EF"/>
    <w:rsid w:val="003E65BE"/>
    <w:rsid w:val="003F277C"/>
    <w:rsid w:val="003F3685"/>
    <w:rsid w:val="00400FAB"/>
    <w:rsid w:val="00403B77"/>
    <w:rsid w:val="00404208"/>
    <w:rsid w:val="00410598"/>
    <w:rsid w:val="00410DC9"/>
    <w:rsid w:val="00414254"/>
    <w:rsid w:val="0041735D"/>
    <w:rsid w:val="00417ED9"/>
    <w:rsid w:val="00426AAB"/>
    <w:rsid w:val="00434972"/>
    <w:rsid w:val="0044648B"/>
    <w:rsid w:val="00447479"/>
    <w:rsid w:val="0045056D"/>
    <w:rsid w:val="00452256"/>
    <w:rsid w:val="00455144"/>
    <w:rsid w:val="0046324B"/>
    <w:rsid w:val="00464F67"/>
    <w:rsid w:val="0046514E"/>
    <w:rsid w:val="00466837"/>
    <w:rsid w:val="00473BB0"/>
    <w:rsid w:val="0047506E"/>
    <w:rsid w:val="00475D05"/>
    <w:rsid w:val="00476DCE"/>
    <w:rsid w:val="00480969"/>
    <w:rsid w:val="00481933"/>
    <w:rsid w:val="004827BE"/>
    <w:rsid w:val="0048599B"/>
    <w:rsid w:val="00487347"/>
    <w:rsid w:val="0048767C"/>
    <w:rsid w:val="00487AF6"/>
    <w:rsid w:val="00496DA4"/>
    <w:rsid w:val="004A29F9"/>
    <w:rsid w:val="004A2C98"/>
    <w:rsid w:val="004B0379"/>
    <w:rsid w:val="004B4683"/>
    <w:rsid w:val="004B49BE"/>
    <w:rsid w:val="004B7300"/>
    <w:rsid w:val="004C1A42"/>
    <w:rsid w:val="004C310A"/>
    <w:rsid w:val="004C5FE8"/>
    <w:rsid w:val="004C6E34"/>
    <w:rsid w:val="004D0967"/>
    <w:rsid w:val="004D310F"/>
    <w:rsid w:val="004D3E9E"/>
    <w:rsid w:val="004E0725"/>
    <w:rsid w:val="004E3EE7"/>
    <w:rsid w:val="004E46E7"/>
    <w:rsid w:val="004F07AE"/>
    <w:rsid w:val="004F0F63"/>
    <w:rsid w:val="004F1E12"/>
    <w:rsid w:val="004F21C4"/>
    <w:rsid w:val="004F2D28"/>
    <w:rsid w:val="004F5A73"/>
    <w:rsid w:val="004F78B5"/>
    <w:rsid w:val="005007C2"/>
    <w:rsid w:val="005018E7"/>
    <w:rsid w:val="00504FC8"/>
    <w:rsid w:val="005069FC"/>
    <w:rsid w:val="005070E9"/>
    <w:rsid w:val="005109D6"/>
    <w:rsid w:val="00520519"/>
    <w:rsid w:val="0052192D"/>
    <w:rsid w:val="00523CDB"/>
    <w:rsid w:val="005322AD"/>
    <w:rsid w:val="005327C8"/>
    <w:rsid w:val="00543A61"/>
    <w:rsid w:val="00551D02"/>
    <w:rsid w:val="005527C5"/>
    <w:rsid w:val="00554B96"/>
    <w:rsid w:val="00555019"/>
    <w:rsid w:val="0055522A"/>
    <w:rsid w:val="005552DB"/>
    <w:rsid w:val="00555382"/>
    <w:rsid w:val="00557D59"/>
    <w:rsid w:val="0056208C"/>
    <w:rsid w:val="00562214"/>
    <w:rsid w:val="005662EE"/>
    <w:rsid w:val="00572F78"/>
    <w:rsid w:val="00573F25"/>
    <w:rsid w:val="0057776D"/>
    <w:rsid w:val="00577F40"/>
    <w:rsid w:val="00581835"/>
    <w:rsid w:val="0058292C"/>
    <w:rsid w:val="00582C9D"/>
    <w:rsid w:val="00585130"/>
    <w:rsid w:val="005861F2"/>
    <w:rsid w:val="005864F9"/>
    <w:rsid w:val="0058656F"/>
    <w:rsid w:val="00591B96"/>
    <w:rsid w:val="00593486"/>
    <w:rsid w:val="005949EE"/>
    <w:rsid w:val="005A0A92"/>
    <w:rsid w:val="005A4716"/>
    <w:rsid w:val="005B47C3"/>
    <w:rsid w:val="005B7533"/>
    <w:rsid w:val="005C0D47"/>
    <w:rsid w:val="005C17AC"/>
    <w:rsid w:val="005C22E7"/>
    <w:rsid w:val="005C329C"/>
    <w:rsid w:val="005D210D"/>
    <w:rsid w:val="005D439D"/>
    <w:rsid w:val="005D51B2"/>
    <w:rsid w:val="005D6308"/>
    <w:rsid w:val="005D6D1B"/>
    <w:rsid w:val="005D6E9A"/>
    <w:rsid w:val="005E3BC3"/>
    <w:rsid w:val="005F035A"/>
    <w:rsid w:val="005F0DA0"/>
    <w:rsid w:val="005F2945"/>
    <w:rsid w:val="005F4D61"/>
    <w:rsid w:val="00604F37"/>
    <w:rsid w:val="006122FF"/>
    <w:rsid w:val="0061319D"/>
    <w:rsid w:val="00614238"/>
    <w:rsid w:val="00615A5F"/>
    <w:rsid w:val="00616CF4"/>
    <w:rsid w:val="0061741D"/>
    <w:rsid w:val="0062168E"/>
    <w:rsid w:val="00623A80"/>
    <w:rsid w:val="00624126"/>
    <w:rsid w:val="00627076"/>
    <w:rsid w:val="00632B7F"/>
    <w:rsid w:val="006341E2"/>
    <w:rsid w:val="0063428A"/>
    <w:rsid w:val="00634715"/>
    <w:rsid w:val="00634854"/>
    <w:rsid w:val="006357D1"/>
    <w:rsid w:val="00645EDE"/>
    <w:rsid w:val="006464F2"/>
    <w:rsid w:val="00652940"/>
    <w:rsid w:val="00653780"/>
    <w:rsid w:val="006567B4"/>
    <w:rsid w:val="006620D6"/>
    <w:rsid w:val="00665235"/>
    <w:rsid w:val="0067221A"/>
    <w:rsid w:val="00672C30"/>
    <w:rsid w:val="006912DF"/>
    <w:rsid w:val="0069379E"/>
    <w:rsid w:val="00693EE3"/>
    <w:rsid w:val="006A139E"/>
    <w:rsid w:val="006A40EA"/>
    <w:rsid w:val="006C3859"/>
    <w:rsid w:val="006C46FB"/>
    <w:rsid w:val="006C71D8"/>
    <w:rsid w:val="006D006A"/>
    <w:rsid w:val="006D7A13"/>
    <w:rsid w:val="006E02AD"/>
    <w:rsid w:val="006E0A65"/>
    <w:rsid w:val="006E3919"/>
    <w:rsid w:val="006F1F0C"/>
    <w:rsid w:val="006F5856"/>
    <w:rsid w:val="007063DE"/>
    <w:rsid w:val="007066E6"/>
    <w:rsid w:val="00712AFF"/>
    <w:rsid w:val="0071456D"/>
    <w:rsid w:val="00715BA8"/>
    <w:rsid w:val="007208E5"/>
    <w:rsid w:val="00721A79"/>
    <w:rsid w:val="007221FB"/>
    <w:rsid w:val="00725B01"/>
    <w:rsid w:val="007275B4"/>
    <w:rsid w:val="00727D6D"/>
    <w:rsid w:val="00731D8C"/>
    <w:rsid w:val="00735308"/>
    <w:rsid w:val="0073565F"/>
    <w:rsid w:val="007409C0"/>
    <w:rsid w:val="00741C7E"/>
    <w:rsid w:val="007429B6"/>
    <w:rsid w:val="00743997"/>
    <w:rsid w:val="0074669C"/>
    <w:rsid w:val="00747520"/>
    <w:rsid w:val="007477DC"/>
    <w:rsid w:val="007509C1"/>
    <w:rsid w:val="00754BF6"/>
    <w:rsid w:val="00755E06"/>
    <w:rsid w:val="0076295B"/>
    <w:rsid w:val="007663A6"/>
    <w:rsid w:val="00771B23"/>
    <w:rsid w:val="00773009"/>
    <w:rsid w:val="007733C7"/>
    <w:rsid w:val="00776364"/>
    <w:rsid w:val="007802D0"/>
    <w:rsid w:val="007804F8"/>
    <w:rsid w:val="00782993"/>
    <w:rsid w:val="00785DCD"/>
    <w:rsid w:val="00786361"/>
    <w:rsid w:val="00792A2A"/>
    <w:rsid w:val="00796527"/>
    <w:rsid w:val="007A473F"/>
    <w:rsid w:val="007A5A58"/>
    <w:rsid w:val="007A69DF"/>
    <w:rsid w:val="007B3683"/>
    <w:rsid w:val="007B3E91"/>
    <w:rsid w:val="007B66CF"/>
    <w:rsid w:val="007C2D6A"/>
    <w:rsid w:val="007C4C2E"/>
    <w:rsid w:val="007C6ED2"/>
    <w:rsid w:val="007D0727"/>
    <w:rsid w:val="007D7BB5"/>
    <w:rsid w:val="007E0242"/>
    <w:rsid w:val="007E0ABD"/>
    <w:rsid w:val="007E0EEC"/>
    <w:rsid w:val="007E15FA"/>
    <w:rsid w:val="007E2E8B"/>
    <w:rsid w:val="007E5492"/>
    <w:rsid w:val="007E5E07"/>
    <w:rsid w:val="007F2F88"/>
    <w:rsid w:val="007F3A80"/>
    <w:rsid w:val="007F52AE"/>
    <w:rsid w:val="0080215E"/>
    <w:rsid w:val="008038F7"/>
    <w:rsid w:val="0080738C"/>
    <w:rsid w:val="00807F58"/>
    <w:rsid w:val="00810F1A"/>
    <w:rsid w:val="00816111"/>
    <w:rsid w:val="0081669D"/>
    <w:rsid w:val="00822475"/>
    <w:rsid w:val="0082734A"/>
    <w:rsid w:val="008305D9"/>
    <w:rsid w:val="00832362"/>
    <w:rsid w:val="0083378E"/>
    <w:rsid w:val="008410DC"/>
    <w:rsid w:val="00842718"/>
    <w:rsid w:val="00844E4C"/>
    <w:rsid w:val="008455D2"/>
    <w:rsid w:val="00846056"/>
    <w:rsid w:val="008461C0"/>
    <w:rsid w:val="00846390"/>
    <w:rsid w:val="00847C9E"/>
    <w:rsid w:val="008626F4"/>
    <w:rsid w:val="00862B96"/>
    <w:rsid w:val="00866E8D"/>
    <w:rsid w:val="00867E30"/>
    <w:rsid w:val="00873543"/>
    <w:rsid w:val="00882773"/>
    <w:rsid w:val="00883486"/>
    <w:rsid w:val="00895D71"/>
    <w:rsid w:val="008A0484"/>
    <w:rsid w:val="008A0AC3"/>
    <w:rsid w:val="008A0D07"/>
    <w:rsid w:val="008A13A4"/>
    <w:rsid w:val="008A3379"/>
    <w:rsid w:val="008A5076"/>
    <w:rsid w:val="008A6856"/>
    <w:rsid w:val="008A76C0"/>
    <w:rsid w:val="008A783C"/>
    <w:rsid w:val="008B26D0"/>
    <w:rsid w:val="008B304D"/>
    <w:rsid w:val="008C4E6A"/>
    <w:rsid w:val="008D1487"/>
    <w:rsid w:val="008D528D"/>
    <w:rsid w:val="008D5807"/>
    <w:rsid w:val="008E1A90"/>
    <w:rsid w:val="008E46DF"/>
    <w:rsid w:val="008F6B2D"/>
    <w:rsid w:val="009001F6"/>
    <w:rsid w:val="00900990"/>
    <w:rsid w:val="00900A73"/>
    <w:rsid w:val="0090211A"/>
    <w:rsid w:val="00904E3C"/>
    <w:rsid w:val="009053E5"/>
    <w:rsid w:val="009113D4"/>
    <w:rsid w:val="00911C9D"/>
    <w:rsid w:val="009161C7"/>
    <w:rsid w:val="00916F2B"/>
    <w:rsid w:val="00917422"/>
    <w:rsid w:val="00922A59"/>
    <w:rsid w:val="00926C8E"/>
    <w:rsid w:val="009308DE"/>
    <w:rsid w:val="00932160"/>
    <w:rsid w:val="00933F0F"/>
    <w:rsid w:val="00940549"/>
    <w:rsid w:val="009413F8"/>
    <w:rsid w:val="00943271"/>
    <w:rsid w:val="00943EB5"/>
    <w:rsid w:val="009448B8"/>
    <w:rsid w:val="00944C76"/>
    <w:rsid w:val="0094623B"/>
    <w:rsid w:val="00947946"/>
    <w:rsid w:val="00950D1B"/>
    <w:rsid w:val="0095139C"/>
    <w:rsid w:val="00952254"/>
    <w:rsid w:val="00953B56"/>
    <w:rsid w:val="0095472C"/>
    <w:rsid w:val="00960139"/>
    <w:rsid w:val="009606DA"/>
    <w:rsid w:val="00960F5E"/>
    <w:rsid w:val="009642EB"/>
    <w:rsid w:val="009703A6"/>
    <w:rsid w:val="0097289D"/>
    <w:rsid w:val="00977797"/>
    <w:rsid w:val="00977CA8"/>
    <w:rsid w:val="00980DED"/>
    <w:rsid w:val="00981706"/>
    <w:rsid w:val="00984100"/>
    <w:rsid w:val="0099225C"/>
    <w:rsid w:val="00993D19"/>
    <w:rsid w:val="009964DC"/>
    <w:rsid w:val="00997301"/>
    <w:rsid w:val="009A578A"/>
    <w:rsid w:val="009A6F34"/>
    <w:rsid w:val="009B0AB4"/>
    <w:rsid w:val="009B15F6"/>
    <w:rsid w:val="009B1B69"/>
    <w:rsid w:val="009B2853"/>
    <w:rsid w:val="009B5ED5"/>
    <w:rsid w:val="009B67B2"/>
    <w:rsid w:val="009B74D1"/>
    <w:rsid w:val="009C2614"/>
    <w:rsid w:val="009C3526"/>
    <w:rsid w:val="009D2369"/>
    <w:rsid w:val="009D2CC5"/>
    <w:rsid w:val="009D2DE6"/>
    <w:rsid w:val="009D4E14"/>
    <w:rsid w:val="009D764E"/>
    <w:rsid w:val="009E1484"/>
    <w:rsid w:val="009F2685"/>
    <w:rsid w:val="009F3629"/>
    <w:rsid w:val="009F3737"/>
    <w:rsid w:val="009F3A94"/>
    <w:rsid w:val="00A02377"/>
    <w:rsid w:val="00A03E89"/>
    <w:rsid w:val="00A11156"/>
    <w:rsid w:val="00A12443"/>
    <w:rsid w:val="00A13092"/>
    <w:rsid w:val="00A138FE"/>
    <w:rsid w:val="00A14983"/>
    <w:rsid w:val="00A15B7A"/>
    <w:rsid w:val="00A210BC"/>
    <w:rsid w:val="00A21EAA"/>
    <w:rsid w:val="00A2433F"/>
    <w:rsid w:val="00A24EF8"/>
    <w:rsid w:val="00A30CBD"/>
    <w:rsid w:val="00A34F8E"/>
    <w:rsid w:val="00A36ED0"/>
    <w:rsid w:val="00A37886"/>
    <w:rsid w:val="00A43208"/>
    <w:rsid w:val="00A5154B"/>
    <w:rsid w:val="00A528DF"/>
    <w:rsid w:val="00A52FFF"/>
    <w:rsid w:val="00A531FF"/>
    <w:rsid w:val="00A551D1"/>
    <w:rsid w:val="00A63099"/>
    <w:rsid w:val="00A644B5"/>
    <w:rsid w:val="00A65C4F"/>
    <w:rsid w:val="00A663EE"/>
    <w:rsid w:val="00A71FA9"/>
    <w:rsid w:val="00A81186"/>
    <w:rsid w:val="00A8430B"/>
    <w:rsid w:val="00A85B4E"/>
    <w:rsid w:val="00A91A9B"/>
    <w:rsid w:val="00A9363C"/>
    <w:rsid w:val="00A956B1"/>
    <w:rsid w:val="00AA11C3"/>
    <w:rsid w:val="00AA23EB"/>
    <w:rsid w:val="00AA2E88"/>
    <w:rsid w:val="00AB115A"/>
    <w:rsid w:val="00AB3AB3"/>
    <w:rsid w:val="00AC177B"/>
    <w:rsid w:val="00AC20F2"/>
    <w:rsid w:val="00AC6042"/>
    <w:rsid w:val="00AD4E81"/>
    <w:rsid w:val="00AD516C"/>
    <w:rsid w:val="00AD589D"/>
    <w:rsid w:val="00AD6DAF"/>
    <w:rsid w:val="00AE0291"/>
    <w:rsid w:val="00AE4A7E"/>
    <w:rsid w:val="00AE5517"/>
    <w:rsid w:val="00AE6C57"/>
    <w:rsid w:val="00AE7D5A"/>
    <w:rsid w:val="00AF69F3"/>
    <w:rsid w:val="00B037D4"/>
    <w:rsid w:val="00B05047"/>
    <w:rsid w:val="00B05359"/>
    <w:rsid w:val="00B13648"/>
    <w:rsid w:val="00B204EA"/>
    <w:rsid w:val="00B20E45"/>
    <w:rsid w:val="00B25D8E"/>
    <w:rsid w:val="00B26794"/>
    <w:rsid w:val="00B32BA1"/>
    <w:rsid w:val="00B35E35"/>
    <w:rsid w:val="00B3629C"/>
    <w:rsid w:val="00B41BF1"/>
    <w:rsid w:val="00B422FE"/>
    <w:rsid w:val="00B4486C"/>
    <w:rsid w:val="00B478E1"/>
    <w:rsid w:val="00B52247"/>
    <w:rsid w:val="00B60DED"/>
    <w:rsid w:val="00B61448"/>
    <w:rsid w:val="00B63E46"/>
    <w:rsid w:val="00B65C81"/>
    <w:rsid w:val="00B670C7"/>
    <w:rsid w:val="00B8115C"/>
    <w:rsid w:val="00B862AC"/>
    <w:rsid w:val="00B87836"/>
    <w:rsid w:val="00B87EF5"/>
    <w:rsid w:val="00B906C9"/>
    <w:rsid w:val="00B9278A"/>
    <w:rsid w:val="00B96428"/>
    <w:rsid w:val="00B96C8A"/>
    <w:rsid w:val="00B974B2"/>
    <w:rsid w:val="00BA2913"/>
    <w:rsid w:val="00BA519B"/>
    <w:rsid w:val="00BB0389"/>
    <w:rsid w:val="00BB0792"/>
    <w:rsid w:val="00BB2D4A"/>
    <w:rsid w:val="00BB6686"/>
    <w:rsid w:val="00BB79DA"/>
    <w:rsid w:val="00BC424B"/>
    <w:rsid w:val="00BC6D0D"/>
    <w:rsid w:val="00BD48F6"/>
    <w:rsid w:val="00BD5416"/>
    <w:rsid w:val="00BE018F"/>
    <w:rsid w:val="00BE4F90"/>
    <w:rsid w:val="00BF2F0B"/>
    <w:rsid w:val="00BF5378"/>
    <w:rsid w:val="00BF6272"/>
    <w:rsid w:val="00BF6E99"/>
    <w:rsid w:val="00C01B5D"/>
    <w:rsid w:val="00C057E7"/>
    <w:rsid w:val="00C14DF4"/>
    <w:rsid w:val="00C2231F"/>
    <w:rsid w:val="00C225F4"/>
    <w:rsid w:val="00C24829"/>
    <w:rsid w:val="00C25281"/>
    <w:rsid w:val="00C32905"/>
    <w:rsid w:val="00C3366C"/>
    <w:rsid w:val="00C35AA8"/>
    <w:rsid w:val="00C3674F"/>
    <w:rsid w:val="00C372F6"/>
    <w:rsid w:val="00C41792"/>
    <w:rsid w:val="00C55C77"/>
    <w:rsid w:val="00C57289"/>
    <w:rsid w:val="00C57A53"/>
    <w:rsid w:val="00C614B6"/>
    <w:rsid w:val="00C63791"/>
    <w:rsid w:val="00C657F1"/>
    <w:rsid w:val="00C66041"/>
    <w:rsid w:val="00C67013"/>
    <w:rsid w:val="00C67A85"/>
    <w:rsid w:val="00C722CE"/>
    <w:rsid w:val="00C72F9A"/>
    <w:rsid w:val="00C73A3B"/>
    <w:rsid w:val="00C761F1"/>
    <w:rsid w:val="00C8021B"/>
    <w:rsid w:val="00C82C95"/>
    <w:rsid w:val="00C83833"/>
    <w:rsid w:val="00C865F0"/>
    <w:rsid w:val="00C8677E"/>
    <w:rsid w:val="00C905A7"/>
    <w:rsid w:val="00C9358A"/>
    <w:rsid w:val="00C95014"/>
    <w:rsid w:val="00C974DA"/>
    <w:rsid w:val="00CA0285"/>
    <w:rsid w:val="00CA20AF"/>
    <w:rsid w:val="00CA40D5"/>
    <w:rsid w:val="00CA4CF6"/>
    <w:rsid w:val="00CA5757"/>
    <w:rsid w:val="00CB108A"/>
    <w:rsid w:val="00CB12D7"/>
    <w:rsid w:val="00CB4CDD"/>
    <w:rsid w:val="00CB6292"/>
    <w:rsid w:val="00CB6AFB"/>
    <w:rsid w:val="00CB70D6"/>
    <w:rsid w:val="00CB72E9"/>
    <w:rsid w:val="00CB7D92"/>
    <w:rsid w:val="00CC322F"/>
    <w:rsid w:val="00CC40A8"/>
    <w:rsid w:val="00CC5743"/>
    <w:rsid w:val="00CD2510"/>
    <w:rsid w:val="00CD754F"/>
    <w:rsid w:val="00CD7FD9"/>
    <w:rsid w:val="00CE0132"/>
    <w:rsid w:val="00CE161B"/>
    <w:rsid w:val="00CF0582"/>
    <w:rsid w:val="00CF0F65"/>
    <w:rsid w:val="00CF28B5"/>
    <w:rsid w:val="00CF29B8"/>
    <w:rsid w:val="00CF42ED"/>
    <w:rsid w:val="00CF569B"/>
    <w:rsid w:val="00D07BF2"/>
    <w:rsid w:val="00D102AB"/>
    <w:rsid w:val="00D1593C"/>
    <w:rsid w:val="00D1782F"/>
    <w:rsid w:val="00D2183C"/>
    <w:rsid w:val="00D22630"/>
    <w:rsid w:val="00D2664E"/>
    <w:rsid w:val="00D30967"/>
    <w:rsid w:val="00D31CFB"/>
    <w:rsid w:val="00D347F0"/>
    <w:rsid w:val="00D353D2"/>
    <w:rsid w:val="00D35A86"/>
    <w:rsid w:val="00D40E9B"/>
    <w:rsid w:val="00D42676"/>
    <w:rsid w:val="00D45705"/>
    <w:rsid w:val="00D52252"/>
    <w:rsid w:val="00D5300B"/>
    <w:rsid w:val="00D54E6E"/>
    <w:rsid w:val="00D56E53"/>
    <w:rsid w:val="00D64F7E"/>
    <w:rsid w:val="00D65827"/>
    <w:rsid w:val="00D72D96"/>
    <w:rsid w:val="00D82457"/>
    <w:rsid w:val="00D83AB4"/>
    <w:rsid w:val="00D866DC"/>
    <w:rsid w:val="00D875AD"/>
    <w:rsid w:val="00D90AA5"/>
    <w:rsid w:val="00D93715"/>
    <w:rsid w:val="00D94C8F"/>
    <w:rsid w:val="00D957B5"/>
    <w:rsid w:val="00D95ABF"/>
    <w:rsid w:val="00DA0CF0"/>
    <w:rsid w:val="00DA1465"/>
    <w:rsid w:val="00DA1685"/>
    <w:rsid w:val="00DA244F"/>
    <w:rsid w:val="00DA6E50"/>
    <w:rsid w:val="00DB0146"/>
    <w:rsid w:val="00DB1E5F"/>
    <w:rsid w:val="00DB6CD9"/>
    <w:rsid w:val="00DB6D01"/>
    <w:rsid w:val="00DC2409"/>
    <w:rsid w:val="00DC283C"/>
    <w:rsid w:val="00DC42B2"/>
    <w:rsid w:val="00DC7255"/>
    <w:rsid w:val="00DD04DF"/>
    <w:rsid w:val="00DD0A3A"/>
    <w:rsid w:val="00DD4427"/>
    <w:rsid w:val="00DD477E"/>
    <w:rsid w:val="00DE2265"/>
    <w:rsid w:val="00DE2678"/>
    <w:rsid w:val="00DE4410"/>
    <w:rsid w:val="00DE75BB"/>
    <w:rsid w:val="00DF00E8"/>
    <w:rsid w:val="00DF0412"/>
    <w:rsid w:val="00DF212C"/>
    <w:rsid w:val="00DF618D"/>
    <w:rsid w:val="00E05D79"/>
    <w:rsid w:val="00E071F1"/>
    <w:rsid w:val="00E111BC"/>
    <w:rsid w:val="00E12D6F"/>
    <w:rsid w:val="00E130F8"/>
    <w:rsid w:val="00E17FBF"/>
    <w:rsid w:val="00E20176"/>
    <w:rsid w:val="00E20A39"/>
    <w:rsid w:val="00E25FAE"/>
    <w:rsid w:val="00E25FC6"/>
    <w:rsid w:val="00E26B40"/>
    <w:rsid w:val="00E279EF"/>
    <w:rsid w:val="00E34D7A"/>
    <w:rsid w:val="00E3629D"/>
    <w:rsid w:val="00E403A3"/>
    <w:rsid w:val="00E50AE8"/>
    <w:rsid w:val="00E70B3A"/>
    <w:rsid w:val="00E716B4"/>
    <w:rsid w:val="00E77141"/>
    <w:rsid w:val="00E77BCB"/>
    <w:rsid w:val="00E80AEF"/>
    <w:rsid w:val="00E84D29"/>
    <w:rsid w:val="00E9277C"/>
    <w:rsid w:val="00E92A48"/>
    <w:rsid w:val="00E949E7"/>
    <w:rsid w:val="00E95A8B"/>
    <w:rsid w:val="00EA30A2"/>
    <w:rsid w:val="00EA3EEA"/>
    <w:rsid w:val="00EA4B30"/>
    <w:rsid w:val="00EA4CE5"/>
    <w:rsid w:val="00EA703E"/>
    <w:rsid w:val="00EA7FA0"/>
    <w:rsid w:val="00EB1F9F"/>
    <w:rsid w:val="00EB3C28"/>
    <w:rsid w:val="00EB40C0"/>
    <w:rsid w:val="00EB5F56"/>
    <w:rsid w:val="00EC125D"/>
    <w:rsid w:val="00EC2CA4"/>
    <w:rsid w:val="00ED4A67"/>
    <w:rsid w:val="00ED5FAE"/>
    <w:rsid w:val="00ED767D"/>
    <w:rsid w:val="00EE1E73"/>
    <w:rsid w:val="00EE2403"/>
    <w:rsid w:val="00EE3EDF"/>
    <w:rsid w:val="00EE6029"/>
    <w:rsid w:val="00EE62BD"/>
    <w:rsid w:val="00EE7A6A"/>
    <w:rsid w:val="00EF02B4"/>
    <w:rsid w:val="00EF30F5"/>
    <w:rsid w:val="00EF49D3"/>
    <w:rsid w:val="00F007F3"/>
    <w:rsid w:val="00F02D08"/>
    <w:rsid w:val="00F066E3"/>
    <w:rsid w:val="00F07247"/>
    <w:rsid w:val="00F1114D"/>
    <w:rsid w:val="00F137DA"/>
    <w:rsid w:val="00F153F0"/>
    <w:rsid w:val="00F17D0B"/>
    <w:rsid w:val="00F23BC6"/>
    <w:rsid w:val="00F24142"/>
    <w:rsid w:val="00F31A35"/>
    <w:rsid w:val="00F33E0C"/>
    <w:rsid w:val="00F41EE3"/>
    <w:rsid w:val="00F44786"/>
    <w:rsid w:val="00F44C1C"/>
    <w:rsid w:val="00F4532B"/>
    <w:rsid w:val="00F5616B"/>
    <w:rsid w:val="00F66D90"/>
    <w:rsid w:val="00F71545"/>
    <w:rsid w:val="00F716F9"/>
    <w:rsid w:val="00F72733"/>
    <w:rsid w:val="00F77631"/>
    <w:rsid w:val="00F83112"/>
    <w:rsid w:val="00F832C6"/>
    <w:rsid w:val="00F8333B"/>
    <w:rsid w:val="00F8339E"/>
    <w:rsid w:val="00F84566"/>
    <w:rsid w:val="00F86F43"/>
    <w:rsid w:val="00F93ADB"/>
    <w:rsid w:val="00F96148"/>
    <w:rsid w:val="00F96C0D"/>
    <w:rsid w:val="00F97549"/>
    <w:rsid w:val="00F9782E"/>
    <w:rsid w:val="00F97D83"/>
    <w:rsid w:val="00FB02C9"/>
    <w:rsid w:val="00FB0D6B"/>
    <w:rsid w:val="00FB139B"/>
    <w:rsid w:val="00FB192F"/>
    <w:rsid w:val="00FB37CA"/>
    <w:rsid w:val="00FB79E0"/>
    <w:rsid w:val="00FB7FD6"/>
    <w:rsid w:val="00FC0222"/>
    <w:rsid w:val="00FC7622"/>
    <w:rsid w:val="00FD138F"/>
    <w:rsid w:val="00FD1895"/>
    <w:rsid w:val="00FD2D31"/>
    <w:rsid w:val="00FD39F6"/>
    <w:rsid w:val="00FE0C9F"/>
    <w:rsid w:val="00FE2834"/>
    <w:rsid w:val="00FE47DB"/>
    <w:rsid w:val="00FE59E6"/>
    <w:rsid w:val="00FE6B55"/>
    <w:rsid w:val="00FF3E93"/>
    <w:rsid w:val="00FF5C3F"/>
    <w:rsid w:val="00FF6CC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6386B"/>
  <w15:docId w15:val="{086ED686-FBBD-4204-B2C2-04A36158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3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481933"/>
    <w:pPr>
      <w:spacing w:before="240"/>
      <w:jc w:val="both"/>
      <w:outlineLvl w:val="0"/>
    </w:pPr>
    <w:rPr>
      <w:rFonts w:ascii="Univers (W1)" w:hAnsi="Univers (W1)"/>
      <w:b/>
      <w:szCs w:val="20"/>
      <w:u w:val="single"/>
      <w:lang w:val="es-ES_tradnl"/>
    </w:rPr>
  </w:style>
  <w:style w:type="paragraph" w:styleId="Ttulo2">
    <w:name w:val="heading 2"/>
    <w:basedOn w:val="Normal"/>
    <w:next w:val="Normal"/>
    <w:link w:val="Ttulo2Car"/>
    <w:uiPriority w:val="99"/>
    <w:qFormat/>
    <w:rsid w:val="00481933"/>
    <w:pPr>
      <w:spacing w:before="120"/>
      <w:jc w:val="both"/>
      <w:outlineLvl w:val="1"/>
    </w:pPr>
    <w:rPr>
      <w:rFonts w:ascii="Univers (W1)" w:hAnsi="Univers (W1)"/>
      <w:b/>
      <w:szCs w:val="20"/>
      <w:lang w:val="es-ES_tradnl"/>
    </w:rPr>
  </w:style>
  <w:style w:type="paragraph" w:styleId="Ttulo3">
    <w:name w:val="heading 3"/>
    <w:basedOn w:val="Normal"/>
    <w:next w:val="Sangranormal"/>
    <w:link w:val="Ttulo3Car"/>
    <w:uiPriority w:val="99"/>
    <w:qFormat/>
    <w:rsid w:val="00481933"/>
    <w:pPr>
      <w:ind w:left="354"/>
      <w:jc w:val="both"/>
      <w:outlineLvl w:val="2"/>
    </w:pPr>
    <w:rPr>
      <w:rFonts w:ascii="CG Times (W1)" w:hAnsi="CG Times (W1)"/>
      <w:b/>
      <w:szCs w:val="20"/>
      <w:lang w:val="es-ES_tradnl"/>
    </w:rPr>
  </w:style>
  <w:style w:type="paragraph" w:styleId="Ttulo4">
    <w:name w:val="heading 4"/>
    <w:basedOn w:val="Normal"/>
    <w:next w:val="Normal"/>
    <w:link w:val="Ttulo4Car"/>
    <w:uiPriority w:val="99"/>
    <w:qFormat/>
    <w:rsid w:val="00481933"/>
    <w:pPr>
      <w:keepNext/>
      <w:jc w:val="center"/>
      <w:outlineLvl w:val="3"/>
    </w:pPr>
    <w:rPr>
      <w:b/>
      <w:iCs/>
      <w:sz w:val="22"/>
      <w:lang w:val="en-US"/>
    </w:rPr>
  </w:style>
  <w:style w:type="paragraph" w:styleId="Ttulo5">
    <w:name w:val="heading 5"/>
    <w:basedOn w:val="Normal"/>
    <w:next w:val="Sangranormal"/>
    <w:link w:val="Ttulo5Car"/>
    <w:uiPriority w:val="99"/>
    <w:qFormat/>
    <w:rsid w:val="00481933"/>
    <w:pPr>
      <w:ind w:left="708"/>
      <w:jc w:val="both"/>
      <w:outlineLvl w:val="4"/>
    </w:pPr>
    <w:rPr>
      <w:rFonts w:ascii="CG Times (W1)" w:hAnsi="CG Times (W1)"/>
      <w:b/>
      <w:sz w:val="20"/>
      <w:szCs w:val="20"/>
      <w:lang w:val="es-ES_tradnl"/>
    </w:rPr>
  </w:style>
  <w:style w:type="paragraph" w:styleId="Ttulo6">
    <w:name w:val="heading 6"/>
    <w:basedOn w:val="Normal"/>
    <w:next w:val="Normal"/>
    <w:link w:val="Ttulo6Car"/>
    <w:uiPriority w:val="99"/>
    <w:qFormat/>
    <w:rsid w:val="00481933"/>
    <w:pPr>
      <w:keepNext/>
      <w:jc w:val="center"/>
      <w:outlineLvl w:val="5"/>
    </w:pPr>
    <w:rPr>
      <w:b/>
      <w:color w:val="000000"/>
      <w:szCs w:val="21"/>
    </w:rPr>
  </w:style>
  <w:style w:type="paragraph" w:styleId="Ttulo7">
    <w:name w:val="heading 7"/>
    <w:basedOn w:val="Normal"/>
    <w:next w:val="Normal"/>
    <w:link w:val="Ttulo7Car"/>
    <w:uiPriority w:val="99"/>
    <w:qFormat/>
    <w:rsid w:val="00481933"/>
    <w:pPr>
      <w:keepNext/>
      <w:spacing w:after="240"/>
      <w:ind w:right="284"/>
      <w:jc w:val="center"/>
      <w:outlineLvl w:val="6"/>
    </w:pPr>
    <w:rPr>
      <w:b/>
      <w:sz w:val="22"/>
      <w:szCs w:val="21"/>
      <w:u w:val="single"/>
    </w:rPr>
  </w:style>
  <w:style w:type="paragraph" w:styleId="Ttulo8">
    <w:name w:val="heading 8"/>
    <w:basedOn w:val="Normal"/>
    <w:next w:val="Normal"/>
    <w:link w:val="Ttulo8Car"/>
    <w:uiPriority w:val="99"/>
    <w:qFormat/>
    <w:rsid w:val="00481933"/>
    <w:pPr>
      <w:keepNext/>
      <w:jc w:val="center"/>
      <w:outlineLvl w:val="7"/>
    </w:pPr>
    <w:rPr>
      <w:b/>
      <w:sz w:val="22"/>
      <w:szCs w:val="21"/>
      <w:u w:val="single"/>
    </w:rPr>
  </w:style>
  <w:style w:type="paragraph" w:styleId="Ttulo9">
    <w:name w:val="heading 9"/>
    <w:basedOn w:val="Normal"/>
    <w:next w:val="Normal"/>
    <w:link w:val="Ttulo9Car"/>
    <w:uiPriority w:val="99"/>
    <w:qFormat/>
    <w:rsid w:val="0048193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81933"/>
    <w:rPr>
      <w:rFonts w:ascii="Univers (W1)" w:eastAsia="Times New Roman" w:hAnsi="Univers (W1)" w:cs="Times New Roman"/>
      <w:b/>
      <w:sz w:val="24"/>
      <w:szCs w:val="20"/>
      <w:u w:val="single"/>
      <w:lang w:val="es-ES_tradnl" w:eastAsia="es-ES"/>
    </w:rPr>
  </w:style>
  <w:style w:type="character" w:customStyle="1" w:styleId="Ttulo2Car">
    <w:name w:val="Título 2 Car"/>
    <w:basedOn w:val="Fuentedeprrafopredeter"/>
    <w:link w:val="Ttulo2"/>
    <w:uiPriority w:val="99"/>
    <w:rsid w:val="00481933"/>
    <w:rPr>
      <w:rFonts w:ascii="Univers (W1)" w:eastAsia="Times New Roman" w:hAnsi="Univers (W1)" w:cs="Times New Roman"/>
      <w:b/>
      <w:sz w:val="24"/>
      <w:szCs w:val="20"/>
      <w:lang w:val="es-ES_tradnl" w:eastAsia="es-ES"/>
    </w:rPr>
  </w:style>
  <w:style w:type="paragraph" w:styleId="Sangranormal">
    <w:name w:val="Normal Indent"/>
    <w:basedOn w:val="Normal"/>
    <w:uiPriority w:val="99"/>
    <w:semiHidden/>
    <w:rsid w:val="00481933"/>
    <w:pPr>
      <w:ind w:left="708"/>
      <w:jc w:val="both"/>
    </w:pPr>
    <w:rPr>
      <w:rFonts w:ascii="Arial" w:hAnsi="Arial"/>
      <w:sz w:val="26"/>
      <w:szCs w:val="20"/>
      <w:lang w:val="es-ES_tradnl"/>
    </w:rPr>
  </w:style>
  <w:style w:type="character" w:customStyle="1" w:styleId="Ttulo3Car">
    <w:name w:val="Título 3 Car"/>
    <w:basedOn w:val="Fuentedeprrafopredeter"/>
    <w:link w:val="Ttulo3"/>
    <w:uiPriority w:val="99"/>
    <w:rsid w:val="00481933"/>
    <w:rPr>
      <w:rFonts w:ascii="CG Times (W1)" w:eastAsia="Times New Roman" w:hAnsi="CG Times (W1)" w:cs="Times New Roman"/>
      <w:b/>
      <w:sz w:val="24"/>
      <w:szCs w:val="20"/>
      <w:lang w:val="es-ES_tradnl" w:eastAsia="es-ES"/>
    </w:rPr>
  </w:style>
  <w:style w:type="character" w:customStyle="1" w:styleId="Ttulo4Car">
    <w:name w:val="Título 4 Car"/>
    <w:basedOn w:val="Fuentedeprrafopredeter"/>
    <w:link w:val="Ttulo4"/>
    <w:uiPriority w:val="99"/>
    <w:rsid w:val="00481933"/>
    <w:rPr>
      <w:rFonts w:ascii="Times New Roman" w:eastAsia="Times New Roman" w:hAnsi="Times New Roman" w:cs="Times New Roman"/>
      <w:b/>
      <w:iCs/>
      <w:szCs w:val="24"/>
      <w:lang w:val="en-US" w:eastAsia="es-ES"/>
    </w:rPr>
  </w:style>
  <w:style w:type="character" w:customStyle="1" w:styleId="Ttulo5Car">
    <w:name w:val="Título 5 Car"/>
    <w:basedOn w:val="Fuentedeprrafopredeter"/>
    <w:link w:val="Ttulo5"/>
    <w:uiPriority w:val="99"/>
    <w:rsid w:val="00481933"/>
    <w:rPr>
      <w:rFonts w:ascii="CG Times (W1)" w:eastAsia="Times New Roman" w:hAnsi="CG Times (W1)" w:cs="Times New Roman"/>
      <w:b/>
      <w:sz w:val="20"/>
      <w:szCs w:val="20"/>
      <w:lang w:val="es-ES_tradnl" w:eastAsia="es-ES"/>
    </w:rPr>
  </w:style>
  <w:style w:type="character" w:customStyle="1" w:styleId="Ttulo6Car">
    <w:name w:val="Título 6 Car"/>
    <w:basedOn w:val="Fuentedeprrafopredeter"/>
    <w:link w:val="Ttulo6"/>
    <w:uiPriority w:val="99"/>
    <w:rsid w:val="00481933"/>
    <w:rPr>
      <w:rFonts w:ascii="Times New Roman" w:eastAsia="Times New Roman" w:hAnsi="Times New Roman" w:cs="Times New Roman"/>
      <w:b/>
      <w:color w:val="000000"/>
      <w:sz w:val="24"/>
      <w:szCs w:val="21"/>
      <w:lang w:eastAsia="es-ES"/>
    </w:rPr>
  </w:style>
  <w:style w:type="character" w:customStyle="1" w:styleId="Ttulo7Car">
    <w:name w:val="Título 7 Car"/>
    <w:basedOn w:val="Fuentedeprrafopredeter"/>
    <w:link w:val="Ttulo7"/>
    <w:uiPriority w:val="99"/>
    <w:rsid w:val="00481933"/>
    <w:rPr>
      <w:rFonts w:ascii="Times New Roman" w:eastAsia="Times New Roman" w:hAnsi="Times New Roman" w:cs="Times New Roman"/>
      <w:b/>
      <w:szCs w:val="21"/>
      <w:u w:val="single"/>
      <w:lang w:eastAsia="es-ES"/>
    </w:rPr>
  </w:style>
  <w:style w:type="character" w:customStyle="1" w:styleId="Ttulo8Car">
    <w:name w:val="Título 8 Car"/>
    <w:basedOn w:val="Fuentedeprrafopredeter"/>
    <w:link w:val="Ttulo8"/>
    <w:uiPriority w:val="99"/>
    <w:rsid w:val="00481933"/>
    <w:rPr>
      <w:rFonts w:ascii="Times New Roman" w:eastAsia="Times New Roman" w:hAnsi="Times New Roman" w:cs="Times New Roman"/>
      <w:b/>
      <w:szCs w:val="21"/>
      <w:u w:val="single"/>
      <w:lang w:eastAsia="es-ES"/>
    </w:rPr>
  </w:style>
  <w:style w:type="character" w:customStyle="1" w:styleId="Ttulo9Car">
    <w:name w:val="Título 9 Car"/>
    <w:basedOn w:val="Fuentedeprrafopredeter"/>
    <w:link w:val="Ttulo9"/>
    <w:uiPriority w:val="99"/>
    <w:rsid w:val="00481933"/>
    <w:rPr>
      <w:rFonts w:ascii="Arial" w:eastAsia="Times New Roman" w:hAnsi="Arial" w:cs="Arial"/>
      <w:lang w:eastAsia="es-ES"/>
    </w:rPr>
  </w:style>
  <w:style w:type="paragraph" w:styleId="Textoindependiente">
    <w:name w:val="Body Text"/>
    <w:aliases w:val="bt,body text,Car,Texto independienteR,Body Text1,b,5,body text1,bt1,Texto independienteR1,Body Text11,b1,body text2,bt2,Texto independienteR2,Body Text12,b2,bt wide,Body Text Char1,Body Text Char Char,b Char Char,b Char1,Ctrl+1, Car"/>
    <w:basedOn w:val="Normal"/>
    <w:link w:val="TextoindependienteCar1"/>
    <w:rsid w:val="00481933"/>
    <w:pPr>
      <w:jc w:val="both"/>
    </w:pPr>
    <w:rPr>
      <w:rFonts w:ascii="Arial" w:hAnsi="Arial"/>
      <w:sz w:val="22"/>
      <w:szCs w:val="20"/>
      <w:lang w:val="es-ES_tradnl"/>
    </w:rPr>
  </w:style>
  <w:style w:type="character" w:customStyle="1" w:styleId="TextoindependienteCar1">
    <w:name w:val="Texto independiente Car1"/>
    <w:aliases w:val="bt Car1,body text Car1,Car Car,Texto independienteR Car1,Body Text1 Car1,b Car2,5 Car,body text1 Car,bt1 Car,Texto independienteR1 Car,Body Text11 Car,b1 Car,body text2 Car,bt2 Car,Texto independienteR2 Car,Body Text12 Car"/>
    <w:link w:val="Textoindependiente"/>
    <w:locked/>
    <w:rsid w:val="00481933"/>
    <w:rPr>
      <w:rFonts w:ascii="Arial" w:eastAsia="Times New Roman" w:hAnsi="Arial" w:cs="Times New Roman"/>
      <w:szCs w:val="20"/>
      <w:lang w:val="es-ES_tradnl" w:eastAsia="es-ES"/>
    </w:rPr>
  </w:style>
  <w:style w:type="character" w:customStyle="1" w:styleId="TextoindependienteCar">
    <w:name w:val="Texto independiente Car"/>
    <w:aliases w:val="bt Car,body text Car,Car Car1,Texto independienteR Car,Body Text1 Car,b Car1, Car Car,b2 Car"/>
    <w:basedOn w:val="Fuentedeprrafopredeter"/>
    <w:semiHidden/>
    <w:rsid w:val="00481933"/>
    <w:rPr>
      <w:rFonts w:ascii="Times New Roman" w:eastAsia="Times New Roman" w:hAnsi="Times New Roman" w:cs="Times New Roman"/>
      <w:sz w:val="24"/>
      <w:szCs w:val="24"/>
      <w:lang w:eastAsia="es-ES"/>
    </w:rPr>
  </w:style>
  <w:style w:type="paragraph" w:customStyle="1" w:styleId="notaalpie">
    <w:name w:val="nota al pie"/>
    <w:basedOn w:val="Normal"/>
    <w:rsid w:val="00481933"/>
    <w:pPr>
      <w:jc w:val="both"/>
    </w:pPr>
    <w:rPr>
      <w:rFonts w:ascii="Arial" w:hAnsi="Arial"/>
      <w:sz w:val="20"/>
      <w:szCs w:val="20"/>
      <w:lang w:val="es-ES_tradnl"/>
    </w:rPr>
  </w:style>
  <w:style w:type="character" w:styleId="Hipervnculo">
    <w:name w:val="Hyperlink"/>
    <w:uiPriority w:val="99"/>
    <w:rsid w:val="00481933"/>
    <w:rPr>
      <w:rFonts w:cs="Times New Roman"/>
      <w:color w:val="0000FF"/>
      <w:u w:val="single"/>
    </w:rPr>
  </w:style>
  <w:style w:type="paragraph" w:customStyle="1" w:styleId="p2">
    <w:name w:val="p2"/>
    <w:basedOn w:val="Normal"/>
    <w:uiPriority w:val="99"/>
    <w:rsid w:val="00481933"/>
    <w:pPr>
      <w:widowControl w:val="0"/>
      <w:tabs>
        <w:tab w:val="left" w:pos="720"/>
      </w:tabs>
    </w:pPr>
    <w:rPr>
      <w:rFonts w:ascii="Courier" w:hAnsi="Courier"/>
      <w:szCs w:val="20"/>
      <w:lang w:val="es-ES_tradnl"/>
    </w:rPr>
  </w:style>
  <w:style w:type="paragraph" w:customStyle="1" w:styleId="BodyText21">
    <w:name w:val="Body Text 21"/>
    <w:basedOn w:val="Normal"/>
    <w:rsid w:val="00481933"/>
    <w:pPr>
      <w:spacing w:before="120"/>
      <w:ind w:left="720" w:hanging="14"/>
      <w:jc w:val="both"/>
    </w:pPr>
    <w:rPr>
      <w:rFonts w:ascii="CG Times (W1)" w:hAnsi="CG Times (W1)"/>
      <w:sz w:val="22"/>
      <w:szCs w:val="20"/>
      <w:lang w:val="es-ES_tradnl"/>
    </w:rPr>
  </w:style>
  <w:style w:type="paragraph" w:customStyle="1" w:styleId="Textopredeterminado">
    <w:name w:val="Texto predeterminado"/>
    <w:basedOn w:val="Normal"/>
    <w:uiPriority w:val="99"/>
    <w:rsid w:val="00481933"/>
    <w:pPr>
      <w:jc w:val="both"/>
    </w:pPr>
    <w:rPr>
      <w:rFonts w:ascii="Arial" w:hAnsi="Arial"/>
      <w:szCs w:val="20"/>
      <w:lang w:val="es-ES_tradnl"/>
    </w:rPr>
  </w:style>
  <w:style w:type="paragraph" w:styleId="NormalWeb">
    <w:name w:val="Normal (Web)"/>
    <w:basedOn w:val="Normal"/>
    <w:uiPriority w:val="99"/>
    <w:rsid w:val="00481933"/>
    <w:pPr>
      <w:spacing w:before="100" w:after="100"/>
    </w:pPr>
    <w:rPr>
      <w:rFonts w:ascii="Arial Unicode MS" w:eastAsia="Arial Unicode MS" w:hAnsi="Arial Unicode MS"/>
      <w:szCs w:val="20"/>
      <w:lang w:val="es-ES"/>
    </w:rPr>
  </w:style>
  <w:style w:type="paragraph" w:styleId="Piedepgina">
    <w:name w:val="footer"/>
    <w:basedOn w:val="Normal"/>
    <w:link w:val="PiedepginaCar"/>
    <w:rsid w:val="00481933"/>
    <w:pPr>
      <w:tabs>
        <w:tab w:val="center" w:pos="4252"/>
        <w:tab w:val="right" w:pos="8504"/>
      </w:tabs>
      <w:jc w:val="both"/>
    </w:pPr>
    <w:rPr>
      <w:rFonts w:ascii="Arial" w:hAnsi="Arial"/>
      <w:sz w:val="26"/>
      <w:szCs w:val="20"/>
      <w:lang w:val="es-ES_tradnl"/>
    </w:rPr>
  </w:style>
  <w:style w:type="character" w:customStyle="1" w:styleId="PiedepginaCar">
    <w:name w:val="Pie de página Car"/>
    <w:basedOn w:val="Fuentedeprrafopredeter"/>
    <w:link w:val="Piedepgina"/>
    <w:rsid w:val="00481933"/>
    <w:rPr>
      <w:rFonts w:ascii="Arial" w:eastAsia="Times New Roman" w:hAnsi="Arial" w:cs="Times New Roman"/>
      <w:sz w:val="26"/>
      <w:szCs w:val="20"/>
      <w:lang w:val="es-ES_tradnl" w:eastAsia="es-ES"/>
    </w:rPr>
  </w:style>
  <w:style w:type="paragraph" w:customStyle="1" w:styleId="Ttulo10">
    <w:name w:val="Título1"/>
    <w:basedOn w:val="Normal"/>
    <w:link w:val="TtuloCar1"/>
    <w:uiPriority w:val="99"/>
    <w:qFormat/>
    <w:rsid w:val="00481933"/>
    <w:pPr>
      <w:widowControl w:val="0"/>
      <w:jc w:val="center"/>
    </w:pPr>
    <w:rPr>
      <w:rFonts w:ascii="Arial" w:hAnsi="Arial"/>
      <w:b/>
      <w:sz w:val="72"/>
      <w:szCs w:val="20"/>
    </w:rPr>
  </w:style>
  <w:style w:type="character" w:customStyle="1" w:styleId="TtuloCar1">
    <w:name w:val="Título Car1"/>
    <w:link w:val="Ttulo10"/>
    <w:uiPriority w:val="99"/>
    <w:locked/>
    <w:rsid w:val="00481933"/>
    <w:rPr>
      <w:rFonts w:ascii="Arial" w:eastAsia="Times New Roman" w:hAnsi="Arial" w:cs="Times New Roman"/>
      <w:b/>
      <w:sz w:val="72"/>
      <w:szCs w:val="20"/>
      <w:lang w:eastAsia="es-ES"/>
    </w:rPr>
  </w:style>
  <w:style w:type="paragraph" w:customStyle="1" w:styleId="Estndar">
    <w:name w:val="Estándar"/>
    <w:basedOn w:val="Normal"/>
    <w:uiPriority w:val="99"/>
    <w:rsid w:val="00481933"/>
    <w:rPr>
      <w:szCs w:val="20"/>
      <w:lang w:val="en-US"/>
    </w:rPr>
  </w:style>
  <w:style w:type="paragraph" w:styleId="Textoindependiente2">
    <w:name w:val="Body Text 2"/>
    <w:basedOn w:val="Normal"/>
    <w:link w:val="Textoindependiente2Car"/>
    <w:uiPriority w:val="99"/>
    <w:semiHidden/>
    <w:rsid w:val="00481933"/>
    <w:pPr>
      <w:spacing w:line="240" w:lineRule="atLeast"/>
    </w:pPr>
    <w:rPr>
      <w:rFonts w:ascii="Arial" w:hAnsi="Arial"/>
      <w:b/>
      <w:sz w:val="22"/>
      <w:szCs w:val="20"/>
      <w:lang w:val="es-ES_tradnl"/>
    </w:rPr>
  </w:style>
  <w:style w:type="character" w:customStyle="1" w:styleId="Textoindependiente2Car">
    <w:name w:val="Texto independiente 2 Car"/>
    <w:basedOn w:val="Fuentedeprrafopredeter"/>
    <w:link w:val="Textoindependiente2"/>
    <w:uiPriority w:val="99"/>
    <w:semiHidden/>
    <w:rsid w:val="00481933"/>
    <w:rPr>
      <w:rFonts w:ascii="Arial" w:eastAsia="Times New Roman" w:hAnsi="Arial" w:cs="Times New Roman"/>
      <w:b/>
      <w:szCs w:val="20"/>
      <w:lang w:val="es-ES_tradnl" w:eastAsia="es-ES"/>
    </w:rPr>
  </w:style>
  <w:style w:type="paragraph" w:customStyle="1" w:styleId="Textopredete">
    <w:name w:val="Texto predete"/>
    <w:basedOn w:val="Normal"/>
    <w:uiPriority w:val="99"/>
    <w:rsid w:val="00481933"/>
    <w:rPr>
      <w:szCs w:val="20"/>
      <w:lang w:val="en-US"/>
    </w:rPr>
  </w:style>
  <w:style w:type="paragraph" w:customStyle="1" w:styleId="Adentro">
    <w:name w:val="Adentro"/>
    <w:basedOn w:val="Normal"/>
    <w:uiPriority w:val="99"/>
    <w:rsid w:val="00481933"/>
    <w:pPr>
      <w:ind w:left="283"/>
      <w:jc w:val="both"/>
    </w:pPr>
    <w:rPr>
      <w:szCs w:val="20"/>
      <w:lang w:val="en-US"/>
    </w:rPr>
  </w:style>
  <w:style w:type="paragraph" w:customStyle="1" w:styleId="BodyText23">
    <w:name w:val="Body Text 23"/>
    <w:basedOn w:val="Normal"/>
    <w:rsid w:val="00481933"/>
    <w:pPr>
      <w:widowControl w:val="0"/>
      <w:jc w:val="both"/>
    </w:pPr>
    <w:rPr>
      <w:b/>
      <w:sz w:val="22"/>
      <w:szCs w:val="20"/>
    </w:rPr>
  </w:style>
  <w:style w:type="paragraph" w:customStyle="1" w:styleId="Texto">
    <w:name w:val="Texto"/>
    <w:basedOn w:val="Normal"/>
    <w:uiPriority w:val="99"/>
    <w:rsid w:val="00481933"/>
    <w:pPr>
      <w:jc w:val="both"/>
    </w:pPr>
    <w:rPr>
      <w:rFonts w:ascii="Book Antiqua" w:hAnsi="Book Antiqua"/>
      <w:sz w:val="20"/>
      <w:szCs w:val="20"/>
      <w:lang w:val="es-ES_tradnl"/>
    </w:rPr>
  </w:style>
  <w:style w:type="paragraph" w:styleId="Textonotapie">
    <w:name w:val="footnote text"/>
    <w:basedOn w:val="Normal"/>
    <w:link w:val="TextonotapieCar"/>
    <w:uiPriority w:val="99"/>
    <w:rsid w:val="00481933"/>
    <w:pPr>
      <w:jc w:val="both"/>
    </w:pPr>
    <w:rPr>
      <w:rFonts w:ascii="Arial" w:hAnsi="Arial"/>
      <w:sz w:val="20"/>
      <w:szCs w:val="20"/>
      <w:lang w:val="es-ES_tradnl"/>
    </w:rPr>
  </w:style>
  <w:style w:type="character" w:customStyle="1" w:styleId="TextonotapieCar">
    <w:name w:val="Texto nota pie Car"/>
    <w:basedOn w:val="Fuentedeprrafopredeter"/>
    <w:link w:val="Textonotapie"/>
    <w:uiPriority w:val="99"/>
    <w:rsid w:val="00481933"/>
    <w:rPr>
      <w:rFonts w:ascii="Arial" w:eastAsia="Times New Roman" w:hAnsi="Arial" w:cs="Times New Roman"/>
      <w:sz w:val="20"/>
      <w:szCs w:val="20"/>
      <w:lang w:val="es-ES_tradnl" w:eastAsia="es-ES"/>
    </w:rPr>
  </w:style>
  <w:style w:type="paragraph" w:styleId="Sangradetextonormal">
    <w:name w:val="Body Text Indent"/>
    <w:basedOn w:val="Normal"/>
    <w:link w:val="SangradetextonormalCar"/>
    <w:uiPriority w:val="99"/>
    <w:semiHidden/>
    <w:rsid w:val="00481933"/>
    <w:pPr>
      <w:ind w:left="426" w:hanging="426"/>
      <w:jc w:val="both"/>
    </w:pPr>
    <w:rPr>
      <w:rFonts w:ascii="Arial" w:hAnsi="Arial"/>
      <w:b/>
      <w:sz w:val="22"/>
      <w:szCs w:val="20"/>
      <w:lang w:val="es-ES_tradnl"/>
    </w:rPr>
  </w:style>
  <w:style w:type="character" w:customStyle="1" w:styleId="SangradetextonormalCar">
    <w:name w:val="Sangría de texto normal Car"/>
    <w:basedOn w:val="Fuentedeprrafopredeter"/>
    <w:link w:val="Sangradetextonormal"/>
    <w:uiPriority w:val="99"/>
    <w:semiHidden/>
    <w:rsid w:val="00481933"/>
    <w:rPr>
      <w:rFonts w:ascii="Arial" w:eastAsia="Times New Roman" w:hAnsi="Arial" w:cs="Times New Roman"/>
      <w:b/>
      <w:szCs w:val="20"/>
      <w:lang w:val="es-ES_tradnl" w:eastAsia="es-ES"/>
    </w:rPr>
  </w:style>
  <w:style w:type="paragraph" w:customStyle="1" w:styleId="BodyText22">
    <w:name w:val="Body Text 22"/>
    <w:basedOn w:val="Normal"/>
    <w:rsid w:val="00481933"/>
    <w:pPr>
      <w:widowControl w:val="0"/>
      <w:jc w:val="both"/>
    </w:pPr>
    <w:rPr>
      <w:rFonts w:ascii="CG Times (W1)" w:hAnsi="CG Times (W1)"/>
      <w:sz w:val="20"/>
      <w:szCs w:val="20"/>
    </w:rPr>
  </w:style>
  <w:style w:type="paragraph" w:customStyle="1" w:styleId="Asuntodelcomentario1">
    <w:name w:val="Asunto del comentario1"/>
    <w:basedOn w:val="Textocomentario"/>
    <w:next w:val="Textocomentario"/>
    <w:uiPriority w:val="99"/>
    <w:semiHidden/>
    <w:rsid w:val="00481933"/>
    <w:rPr>
      <w:b/>
    </w:rPr>
  </w:style>
  <w:style w:type="paragraph" w:styleId="Textocomentario">
    <w:name w:val="annotation text"/>
    <w:basedOn w:val="Normal"/>
    <w:link w:val="TextocomentarioCar1"/>
    <w:uiPriority w:val="99"/>
    <w:rsid w:val="00481933"/>
    <w:pPr>
      <w:jc w:val="both"/>
    </w:pPr>
    <w:rPr>
      <w:rFonts w:ascii="Arial" w:hAnsi="Arial"/>
      <w:sz w:val="20"/>
      <w:szCs w:val="20"/>
      <w:lang w:val="es-ES_tradnl"/>
    </w:rPr>
  </w:style>
  <w:style w:type="character" w:customStyle="1" w:styleId="TextocomentarioCar1">
    <w:name w:val="Texto comentario Car1"/>
    <w:link w:val="Textocomentario"/>
    <w:uiPriority w:val="99"/>
    <w:locked/>
    <w:rsid w:val="00481933"/>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uiPriority w:val="99"/>
    <w:rsid w:val="00481933"/>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semiHidden/>
    <w:rsid w:val="00481933"/>
    <w:pPr>
      <w:jc w:val="center"/>
    </w:pPr>
    <w:rPr>
      <w:rFonts w:ascii="Arial" w:hAnsi="Arial"/>
      <w:b/>
      <w:sz w:val="22"/>
      <w:szCs w:val="20"/>
      <w:u w:val="single"/>
      <w:lang w:val="es-ES_tradnl"/>
    </w:rPr>
  </w:style>
  <w:style w:type="character" w:customStyle="1" w:styleId="Textoindependiente3Car">
    <w:name w:val="Texto independiente 3 Car"/>
    <w:basedOn w:val="Fuentedeprrafopredeter"/>
    <w:link w:val="Textoindependiente3"/>
    <w:uiPriority w:val="99"/>
    <w:semiHidden/>
    <w:rsid w:val="00481933"/>
    <w:rPr>
      <w:rFonts w:ascii="Arial" w:eastAsia="Times New Roman" w:hAnsi="Arial" w:cs="Times New Roman"/>
      <w:b/>
      <w:szCs w:val="20"/>
      <w:u w:val="single"/>
      <w:lang w:val="es-ES_tradnl" w:eastAsia="es-ES"/>
    </w:rPr>
  </w:style>
  <w:style w:type="character" w:styleId="Nmerodepgina">
    <w:name w:val="page number"/>
    <w:uiPriority w:val="99"/>
    <w:semiHidden/>
    <w:rsid w:val="00481933"/>
    <w:rPr>
      <w:rFonts w:cs="Times New Roman"/>
    </w:rPr>
  </w:style>
  <w:style w:type="paragraph" w:styleId="Encabezado">
    <w:name w:val="header"/>
    <w:aliases w:val="encabezado,encabezado1,encabezado2,Page Header,Header"/>
    <w:basedOn w:val="Normal"/>
    <w:link w:val="EncabezadoCar"/>
    <w:uiPriority w:val="99"/>
    <w:rsid w:val="00481933"/>
    <w:pPr>
      <w:tabs>
        <w:tab w:val="center" w:pos="4252"/>
        <w:tab w:val="right" w:pos="8504"/>
      </w:tabs>
      <w:jc w:val="both"/>
    </w:pPr>
    <w:rPr>
      <w:rFonts w:ascii="Arial" w:hAnsi="Arial"/>
      <w:sz w:val="26"/>
      <w:szCs w:val="20"/>
      <w:lang w:val="es-ES_tradnl"/>
    </w:rPr>
  </w:style>
  <w:style w:type="character" w:customStyle="1" w:styleId="EncabezadoCar">
    <w:name w:val="Encabezado Car"/>
    <w:aliases w:val="encabezado Car,encabezado1 Car,encabezado2 Car,Page Header Car,Header Car"/>
    <w:basedOn w:val="Fuentedeprrafopredeter"/>
    <w:link w:val="Encabezado"/>
    <w:uiPriority w:val="99"/>
    <w:rsid w:val="00481933"/>
    <w:rPr>
      <w:rFonts w:ascii="Arial" w:eastAsia="Times New Roman" w:hAnsi="Arial" w:cs="Times New Roman"/>
      <w:sz w:val="26"/>
      <w:szCs w:val="20"/>
      <w:lang w:val="es-ES_tradnl" w:eastAsia="es-ES"/>
    </w:rPr>
  </w:style>
  <w:style w:type="character" w:styleId="Textoennegrita">
    <w:name w:val="Strong"/>
    <w:uiPriority w:val="22"/>
    <w:qFormat/>
    <w:rsid w:val="00481933"/>
    <w:rPr>
      <w:rFonts w:cs="Times New Roman"/>
      <w:b/>
    </w:rPr>
  </w:style>
  <w:style w:type="paragraph" w:customStyle="1" w:styleId="OmniPage770">
    <w:name w:val="OmniPage #770"/>
    <w:uiPriority w:val="99"/>
    <w:rsid w:val="00481933"/>
    <w:pPr>
      <w:tabs>
        <w:tab w:val="left" w:pos="162"/>
        <w:tab w:val="right" w:pos="10668"/>
      </w:tabs>
      <w:spacing w:after="0" w:line="240" w:lineRule="auto"/>
      <w:jc w:val="both"/>
    </w:pPr>
    <w:rPr>
      <w:rFonts w:ascii="Times New Roman" w:eastAsia="Times New Roman" w:hAnsi="Times New Roman" w:cs="Times New Roman"/>
      <w:sz w:val="18"/>
      <w:szCs w:val="20"/>
      <w:lang w:val="en-US" w:eastAsia="es-ES"/>
    </w:rPr>
  </w:style>
  <w:style w:type="paragraph" w:customStyle="1" w:styleId="1">
    <w:name w:val="1"/>
    <w:basedOn w:val="Normal"/>
    <w:next w:val="Sangradetextonormal"/>
    <w:uiPriority w:val="99"/>
    <w:rsid w:val="00481933"/>
    <w:pPr>
      <w:ind w:left="426" w:hanging="426"/>
      <w:jc w:val="both"/>
    </w:pPr>
    <w:rPr>
      <w:rFonts w:ascii="Arial" w:hAnsi="Arial"/>
      <w:b/>
      <w:sz w:val="22"/>
      <w:szCs w:val="20"/>
      <w:lang w:val="es-ES_tradnl"/>
    </w:rPr>
  </w:style>
  <w:style w:type="paragraph" w:customStyle="1" w:styleId="Notaalpie0">
    <w:name w:val="Nota al pie"/>
    <w:basedOn w:val="Normal"/>
    <w:uiPriority w:val="99"/>
    <w:rsid w:val="00481933"/>
    <w:pPr>
      <w:jc w:val="both"/>
    </w:pPr>
    <w:rPr>
      <w:rFonts w:ascii="Arial" w:hAnsi="Arial"/>
      <w:sz w:val="22"/>
      <w:szCs w:val="20"/>
    </w:rPr>
  </w:style>
  <w:style w:type="paragraph" w:customStyle="1" w:styleId="Default">
    <w:name w:val="Default"/>
    <w:rsid w:val="00481933"/>
    <w:pPr>
      <w:autoSpaceDE w:val="0"/>
      <w:autoSpaceDN w:val="0"/>
      <w:adjustRightInd w:val="0"/>
      <w:spacing w:after="0" w:line="240" w:lineRule="auto"/>
    </w:pPr>
    <w:rPr>
      <w:rFonts w:ascii="Arial Narrow" w:eastAsia="Times New Roman" w:hAnsi="Arial Narrow" w:cs="Times New Roman"/>
      <w:color w:val="000000"/>
      <w:sz w:val="24"/>
      <w:szCs w:val="24"/>
      <w:lang w:val="es-ES" w:eastAsia="es-ES"/>
    </w:rPr>
  </w:style>
  <w:style w:type="paragraph" w:customStyle="1" w:styleId="bodytext220">
    <w:name w:val="bodytext22"/>
    <w:basedOn w:val="Normal"/>
    <w:uiPriority w:val="99"/>
    <w:rsid w:val="00481933"/>
    <w:pPr>
      <w:jc w:val="both"/>
    </w:pPr>
    <w:rPr>
      <w:rFonts w:ascii="CG Times (W1)" w:hAnsi="CG Times (W1)"/>
      <w:sz w:val="20"/>
      <w:szCs w:val="20"/>
      <w:lang w:val="es-ES"/>
    </w:rPr>
  </w:style>
  <w:style w:type="paragraph" w:customStyle="1" w:styleId="CarCarCarCarCarCar1CarCarCarCarCarCarCarCarCarCarCarCarCarCarCar1CarCarCarCar">
    <w:name w:val="Car Car Car Car Car Car1 Car Car Car Car Car Car Car Car Car Car Car Car Car Car Car1 Car Car Car Car"/>
    <w:basedOn w:val="Normal"/>
    <w:uiPriority w:val="99"/>
    <w:rsid w:val="00481933"/>
    <w:pPr>
      <w:spacing w:after="160" w:line="240" w:lineRule="exact"/>
    </w:pPr>
    <w:rPr>
      <w:rFonts w:ascii="Verdana" w:eastAsia="PMingLiU" w:hAnsi="Verdana"/>
      <w:sz w:val="20"/>
      <w:szCs w:val="20"/>
      <w:lang w:val="en-US" w:eastAsia="en-US"/>
    </w:rPr>
  </w:style>
  <w:style w:type="paragraph" w:customStyle="1" w:styleId="ListParagraph2">
    <w:name w:val="List Paragraph2"/>
    <w:basedOn w:val="Normal"/>
    <w:uiPriority w:val="99"/>
    <w:rsid w:val="00481933"/>
    <w:pPr>
      <w:spacing w:after="200" w:line="276" w:lineRule="auto"/>
      <w:ind w:left="720"/>
      <w:contextualSpacing/>
    </w:pPr>
    <w:rPr>
      <w:rFonts w:ascii="Calibri" w:hAnsi="Calibri"/>
      <w:sz w:val="22"/>
      <w:szCs w:val="22"/>
      <w:lang w:eastAsia="en-US"/>
    </w:rPr>
  </w:style>
  <w:style w:type="paragraph" w:styleId="Textosinformato">
    <w:name w:val="Plain Text"/>
    <w:aliases w:val="Car3,b Car"/>
    <w:basedOn w:val="Normal"/>
    <w:link w:val="TextosinformatoCar"/>
    <w:uiPriority w:val="99"/>
    <w:rsid w:val="00481933"/>
    <w:pPr>
      <w:spacing w:before="100" w:beforeAutospacing="1" w:after="100" w:afterAutospacing="1"/>
    </w:pPr>
  </w:style>
  <w:style w:type="character" w:customStyle="1" w:styleId="TextosinformatoCar">
    <w:name w:val="Texto sin formato Car"/>
    <w:aliases w:val="Car3 Car,b Car Car"/>
    <w:basedOn w:val="Fuentedeprrafopredeter"/>
    <w:link w:val="Textosinformato"/>
    <w:uiPriority w:val="99"/>
    <w:rsid w:val="00481933"/>
    <w:rPr>
      <w:rFonts w:ascii="Times New Roman" w:eastAsia="Times New Roman" w:hAnsi="Times New Roman" w:cs="Times New Roman"/>
      <w:sz w:val="24"/>
      <w:szCs w:val="24"/>
      <w:lang w:eastAsia="es-ES"/>
    </w:rPr>
  </w:style>
  <w:style w:type="character" w:customStyle="1" w:styleId="Car1">
    <w:name w:val="Car1"/>
    <w:aliases w:val="b Car Car1"/>
    <w:uiPriority w:val="99"/>
    <w:rsid w:val="00481933"/>
    <w:rPr>
      <w:rFonts w:eastAsia="Times New Roman"/>
      <w:sz w:val="24"/>
    </w:rPr>
  </w:style>
  <w:style w:type="character" w:styleId="Hipervnculovisitado">
    <w:name w:val="FollowedHyperlink"/>
    <w:uiPriority w:val="99"/>
    <w:semiHidden/>
    <w:rsid w:val="00481933"/>
    <w:rPr>
      <w:rFonts w:cs="Times New Roman"/>
      <w:color w:val="800080"/>
      <w:u w:val="single"/>
    </w:rPr>
  </w:style>
  <w:style w:type="paragraph" w:customStyle="1" w:styleId="Epgrafe1">
    <w:name w:val="Epígrafe1"/>
    <w:basedOn w:val="Normal"/>
    <w:next w:val="Normal"/>
    <w:uiPriority w:val="99"/>
    <w:qFormat/>
    <w:rsid w:val="00481933"/>
    <w:pPr>
      <w:spacing w:line="240" w:lineRule="atLeast"/>
      <w:jc w:val="center"/>
      <w:outlineLvl w:val="0"/>
    </w:pPr>
    <w:rPr>
      <w:b/>
      <w:szCs w:val="25"/>
    </w:rPr>
  </w:style>
  <w:style w:type="character" w:styleId="nfasis">
    <w:name w:val="Emphasis"/>
    <w:qFormat/>
    <w:rsid w:val="00481933"/>
    <w:rPr>
      <w:rFonts w:cs="Times New Roman"/>
      <w:i/>
    </w:rPr>
  </w:style>
  <w:style w:type="character" w:customStyle="1" w:styleId="Sangra2detindependienteCar">
    <w:name w:val="Sangría 2 de t. independiente Car"/>
    <w:basedOn w:val="Fuentedeprrafopredeter"/>
    <w:link w:val="Sangra2detindependiente"/>
    <w:uiPriority w:val="99"/>
    <w:semiHidden/>
    <w:rsid w:val="00481933"/>
    <w:rPr>
      <w:rFonts w:ascii="Times New Roman" w:eastAsia="Times New Roman" w:hAnsi="Times New Roman" w:cs="Times New Roman"/>
      <w:sz w:val="20"/>
      <w:szCs w:val="24"/>
      <w:lang w:eastAsia="es-ES"/>
    </w:rPr>
  </w:style>
  <w:style w:type="paragraph" w:styleId="Sangra2detindependiente">
    <w:name w:val="Body Text Indent 2"/>
    <w:basedOn w:val="Normal"/>
    <w:link w:val="Sangra2detindependienteCar"/>
    <w:uiPriority w:val="99"/>
    <w:semiHidden/>
    <w:rsid w:val="00481933"/>
    <w:pPr>
      <w:widowControl w:val="0"/>
      <w:suppressAutoHyphens/>
      <w:ind w:firstLine="748"/>
      <w:jc w:val="both"/>
    </w:pPr>
    <w:rPr>
      <w:sz w:val="20"/>
    </w:rPr>
  </w:style>
  <w:style w:type="paragraph" w:customStyle="1" w:styleId="Textoindependiente21">
    <w:name w:val="Texto independiente 21"/>
    <w:basedOn w:val="Normal"/>
    <w:uiPriority w:val="99"/>
    <w:rsid w:val="00481933"/>
    <w:pPr>
      <w:widowControl w:val="0"/>
      <w:jc w:val="both"/>
    </w:pPr>
    <w:rPr>
      <w:b/>
      <w:sz w:val="22"/>
      <w:szCs w:val="20"/>
    </w:rPr>
  </w:style>
  <w:style w:type="character" w:styleId="Refdenotaalpie">
    <w:name w:val="footnote reference"/>
    <w:uiPriority w:val="99"/>
    <w:rsid w:val="00481933"/>
    <w:rPr>
      <w:rFonts w:cs="Times New Roman"/>
      <w:vertAlign w:val="superscript"/>
    </w:rPr>
  </w:style>
  <w:style w:type="paragraph" w:customStyle="1" w:styleId="CPNormal">
    <w:name w:val="CPNormal"/>
    <w:basedOn w:val="Normal"/>
    <w:uiPriority w:val="99"/>
    <w:rsid w:val="00481933"/>
    <w:pPr>
      <w:tabs>
        <w:tab w:val="left" w:pos="567"/>
      </w:tabs>
      <w:spacing w:after="240" w:line="240" w:lineRule="atLeast"/>
      <w:ind w:firstLine="720"/>
      <w:jc w:val="both"/>
    </w:pPr>
    <w:rPr>
      <w:sz w:val="22"/>
      <w:szCs w:val="20"/>
      <w:lang w:val="en-US"/>
    </w:rPr>
  </w:style>
  <w:style w:type="paragraph" w:customStyle="1" w:styleId="CPNNormal">
    <w:name w:val="CPNNormal"/>
    <w:uiPriority w:val="99"/>
    <w:rsid w:val="00481933"/>
    <w:pPr>
      <w:widowControl w:val="0"/>
      <w:tabs>
        <w:tab w:val="left" w:pos="-720"/>
        <w:tab w:val="left" w:pos="990"/>
      </w:tabs>
      <w:spacing w:after="210" w:line="240" w:lineRule="auto"/>
      <w:ind w:firstLine="547"/>
      <w:jc w:val="both"/>
    </w:pPr>
    <w:rPr>
      <w:rFonts w:ascii="Times New Roman" w:eastAsia="Times New Roman" w:hAnsi="Times New Roman" w:cs="Times New Roman"/>
      <w:sz w:val="21"/>
      <w:szCs w:val="21"/>
      <w:lang w:val="en-US" w:eastAsia="es-ES"/>
    </w:rPr>
  </w:style>
  <w:style w:type="paragraph" w:styleId="Textodeglobo">
    <w:name w:val="Balloon Text"/>
    <w:basedOn w:val="Normal"/>
    <w:link w:val="TextodegloboCar"/>
    <w:uiPriority w:val="99"/>
    <w:semiHidden/>
    <w:rsid w:val="004819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81933"/>
    <w:rPr>
      <w:rFonts w:ascii="Tahoma" w:eastAsia="Times New Roman" w:hAnsi="Tahoma" w:cs="Tahoma"/>
      <w:sz w:val="16"/>
      <w:szCs w:val="16"/>
      <w:lang w:eastAsia="es-ES"/>
    </w:rPr>
  </w:style>
  <w:style w:type="paragraph" w:customStyle="1" w:styleId="Style5">
    <w:name w:val="Style 5"/>
    <w:basedOn w:val="Normal"/>
    <w:uiPriority w:val="99"/>
    <w:rsid w:val="00481933"/>
    <w:pPr>
      <w:widowControl w:val="0"/>
      <w:autoSpaceDE w:val="0"/>
      <w:autoSpaceDN w:val="0"/>
      <w:spacing w:before="252"/>
      <w:jc w:val="both"/>
    </w:pPr>
    <w:rPr>
      <w:lang w:val="en-US"/>
    </w:rPr>
  </w:style>
  <w:style w:type="paragraph" w:customStyle="1" w:styleId="Style3">
    <w:name w:val="Style 3"/>
    <w:basedOn w:val="Normal"/>
    <w:rsid w:val="00481933"/>
    <w:pPr>
      <w:widowControl w:val="0"/>
      <w:autoSpaceDE w:val="0"/>
      <w:autoSpaceDN w:val="0"/>
      <w:jc w:val="both"/>
    </w:pPr>
    <w:rPr>
      <w:lang w:val="en-US"/>
    </w:rPr>
  </w:style>
  <w:style w:type="character" w:customStyle="1" w:styleId="msoins0">
    <w:name w:val="msoins0"/>
    <w:uiPriority w:val="99"/>
    <w:rsid w:val="00481933"/>
    <w:rPr>
      <w:rFonts w:cs="Times New Roman"/>
    </w:rPr>
  </w:style>
  <w:style w:type="character" w:styleId="Refdecomentario">
    <w:name w:val="annotation reference"/>
    <w:uiPriority w:val="99"/>
    <w:rsid w:val="00481933"/>
    <w:rPr>
      <w:rFonts w:cs="Times New Roman"/>
      <w:sz w:val="16"/>
    </w:rPr>
  </w:style>
  <w:style w:type="paragraph" w:styleId="Asuntodelcomentario">
    <w:name w:val="annotation subject"/>
    <w:basedOn w:val="Textocomentario"/>
    <w:next w:val="Textocomentario"/>
    <w:link w:val="AsuntodelcomentarioCar"/>
    <w:uiPriority w:val="99"/>
    <w:semiHidden/>
    <w:rsid w:val="00481933"/>
    <w:pPr>
      <w:jc w:val="left"/>
    </w:pPr>
    <w:rPr>
      <w:rFonts w:ascii="Times New Roman" w:hAnsi="Times New Roman"/>
      <w:b/>
      <w:bCs/>
      <w:lang w:val="es-AR"/>
    </w:rPr>
  </w:style>
  <w:style w:type="character" w:customStyle="1" w:styleId="AsuntodelcomentarioCar">
    <w:name w:val="Asunto del comentario Car"/>
    <w:basedOn w:val="TextocomentarioCar"/>
    <w:link w:val="Asuntodelcomentario"/>
    <w:uiPriority w:val="99"/>
    <w:semiHidden/>
    <w:rsid w:val="00481933"/>
    <w:rPr>
      <w:rFonts w:ascii="Times New Roman" w:eastAsia="Times New Roman" w:hAnsi="Times New Roman" w:cs="Times New Roman"/>
      <w:b/>
      <w:bCs/>
      <w:sz w:val="20"/>
      <w:szCs w:val="20"/>
      <w:lang w:eastAsia="es-ES"/>
    </w:rPr>
  </w:style>
  <w:style w:type="paragraph" w:customStyle="1" w:styleId="ListParagraph1">
    <w:name w:val="List Paragraph1"/>
    <w:basedOn w:val="Normal"/>
    <w:uiPriority w:val="99"/>
    <w:rsid w:val="00481933"/>
    <w:pPr>
      <w:spacing w:after="200" w:line="276" w:lineRule="auto"/>
      <w:ind w:left="720"/>
      <w:contextualSpacing/>
    </w:pPr>
    <w:rPr>
      <w:rFonts w:ascii="Calibri" w:hAnsi="Calibri"/>
      <w:sz w:val="22"/>
      <w:szCs w:val="22"/>
      <w:lang w:eastAsia="en-US"/>
    </w:rPr>
  </w:style>
  <w:style w:type="paragraph" w:customStyle="1" w:styleId="Timesnewroman">
    <w:name w:val="Times new roman"/>
    <w:basedOn w:val="Normal"/>
    <w:uiPriority w:val="99"/>
    <w:rsid w:val="00481933"/>
    <w:rPr>
      <w:sz w:val="22"/>
      <w:szCs w:val="22"/>
      <w:lang w:val="es-ES"/>
    </w:rPr>
  </w:style>
  <w:style w:type="paragraph" w:customStyle="1" w:styleId="Style2">
    <w:name w:val="Style 2"/>
    <w:basedOn w:val="Normal"/>
    <w:uiPriority w:val="99"/>
    <w:rsid w:val="00481933"/>
    <w:pPr>
      <w:widowControl w:val="0"/>
      <w:autoSpaceDE w:val="0"/>
      <w:autoSpaceDN w:val="0"/>
      <w:spacing w:line="360" w:lineRule="auto"/>
      <w:jc w:val="both"/>
    </w:pPr>
    <w:rPr>
      <w:lang w:val="en-US"/>
    </w:rPr>
  </w:style>
  <w:style w:type="paragraph" w:customStyle="1" w:styleId="Style4">
    <w:name w:val="Style 4"/>
    <w:basedOn w:val="Normal"/>
    <w:uiPriority w:val="99"/>
    <w:rsid w:val="00481933"/>
    <w:pPr>
      <w:widowControl w:val="0"/>
      <w:autoSpaceDE w:val="0"/>
      <w:autoSpaceDN w:val="0"/>
      <w:spacing w:line="348" w:lineRule="auto"/>
      <w:ind w:left="864" w:firstLine="1368"/>
      <w:jc w:val="both"/>
    </w:pPr>
    <w:rPr>
      <w:sz w:val="19"/>
      <w:szCs w:val="19"/>
      <w:lang w:val="en-US"/>
    </w:rPr>
  </w:style>
  <w:style w:type="character" w:customStyle="1" w:styleId="CharacterStyle1">
    <w:name w:val="Character Style 1"/>
    <w:rsid w:val="00481933"/>
    <w:rPr>
      <w:sz w:val="19"/>
    </w:rPr>
  </w:style>
  <w:style w:type="paragraph" w:styleId="Sangra3detindependiente">
    <w:name w:val="Body Text Indent 3"/>
    <w:basedOn w:val="Normal"/>
    <w:link w:val="Sangra3detindependienteCar"/>
    <w:uiPriority w:val="99"/>
    <w:rsid w:val="0048193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81933"/>
    <w:rPr>
      <w:rFonts w:ascii="Times New Roman" w:eastAsia="Times New Roman" w:hAnsi="Times New Roman" w:cs="Times New Roman"/>
      <w:sz w:val="16"/>
      <w:szCs w:val="16"/>
      <w:lang w:eastAsia="es-ES"/>
    </w:rPr>
  </w:style>
  <w:style w:type="paragraph" w:customStyle="1" w:styleId="CPN-normal">
    <w:name w:val="CPN-normal"/>
    <w:uiPriority w:val="99"/>
    <w:rsid w:val="00481933"/>
    <w:pPr>
      <w:widowControl w:val="0"/>
      <w:tabs>
        <w:tab w:val="left" w:pos="-720"/>
      </w:tabs>
      <w:suppressAutoHyphens/>
      <w:spacing w:after="0" w:line="240" w:lineRule="auto"/>
      <w:jc w:val="both"/>
    </w:pPr>
    <w:rPr>
      <w:rFonts w:ascii="Arial" w:eastAsia="Times New Roman" w:hAnsi="Arial" w:cs="Times New Roman"/>
      <w:spacing w:val="-2"/>
      <w:szCs w:val="20"/>
      <w:lang w:val="en-US" w:eastAsia="es-ES"/>
    </w:rPr>
  </w:style>
  <w:style w:type="paragraph" w:customStyle="1" w:styleId="NotesLine">
    <w:name w:val="Notes Line"/>
    <w:basedOn w:val="Textodebloque"/>
    <w:uiPriority w:val="99"/>
    <w:rsid w:val="00481933"/>
    <w:pPr>
      <w:tabs>
        <w:tab w:val="left" w:pos="720"/>
      </w:tabs>
      <w:spacing w:after="60"/>
      <w:ind w:left="0" w:right="0"/>
    </w:pPr>
    <w:rPr>
      <w:sz w:val="22"/>
      <w:szCs w:val="22"/>
      <w:lang w:val="en-US" w:eastAsia="en-US"/>
    </w:rPr>
  </w:style>
  <w:style w:type="paragraph" w:styleId="Textodebloque">
    <w:name w:val="Block Text"/>
    <w:basedOn w:val="Normal"/>
    <w:uiPriority w:val="99"/>
    <w:semiHidden/>
    <w:rsid w:val="00481933"/>
    <w:pPr>
      <w:spacing w:after="120"/>
      <w:ind w:left="1440" w:right="1440"/>
    </w:pPr>
  </w:style>
  <w:style w:type="paragraph" w:customStyle="1" w:styleId="Prrafodelista1">
    <w:name w:val="Párrafo de lista1"/>
    <w:basedOn w:val="Normal"/>
    <w:uiPriority w:val="99"/>
    <w:rsid w:val="00481933"/>
    <w:pPr>
      <w:spacing w:after="200" w:line="276" w:lineRule="auto"/>
      <w:ind w:left="720"/>
      <w:contextualSpacing/>
    </w:pPr>
    <w:rPr>
      <w:rFonts w:ascii="Calibri" w:hAnsi="Calibri"/>
      <w:sz w:val="22"/>
      <w:szCs w:val="22"/>
      <w:lang w:val="es-ES" w:eastAsia="en-US"/>
    </w:rPr>
  </w:style>
  <w:style w:type="paragraph" w:customStyle="1" w:styleId="CharChar">
    <w:name w:val="Char Char"/>
    <w:basedOn w:val="Normal"/>
    <w:uiPriority w:val="99"/>
    <w:rsid w:val="00481933"/>
    <w:pPr>
      <w:spacing w:after="160" w:line="240" w:lineRule="exact"/>
    </w:pPr>
    <w:rPr>
      <w:rFonts w:ascii="Verdana" w:eastAsia="PMingLiU" w:hAnsi="Verdana"/>
      <w:sz w:val="20"/>
      <w:szCs w:val="20"/>
      <w:lang w:val="en-US" w:eastAsia="en-US"/>
    </w:rPr>
  </w:style>
  <w:style w:type="paragraph" w:customStyle="1" w:styleId="Ttuloprincipal">
    <w:name w:val="Título principal"/>
    <w:basedOn w:val="Normal"/>
    <w:uiPriority w:val="99"/>
    <w:rsid w:val="00481933"/>
    <w:pPr>
      <w:jc w:val="center"/>
    </w:pPr>
    <w:rPr>
      <w:rFonts w:ascii="Book Antiqua" w:hAnsi="Book Antiqua"/>
      <w:b/>
      <w:szCs w:val="20"/>
      <w:lang w:val="es-ES_tradnl" w:eastAsia="en-US"/>
    </w:rPr>
  </w:style>
  <w:style w:type="paragraph" w:customStyle="1" w:styleId="Ttulonota">
    <w:name w:val="Título nota"/>
    <w:basedOn w:val="Normal"/>
    <w:uiPriority w:val="99"/>
    <w:rsid w:val="00481933"/>
    <w:pPr>
      <w:jc w:val="both"/>
    </w:pPr>
    <w:rPr>
      <w:rFonts w:ascii="Book Antiqua" w:hAnsi="Book Antiqua"/>
      <w:b/>
      <w:sz w:val="22"/>
      <w:szCs w:val="20"/>
      <w:lang w:val="es-ES_tradnl" w:eastAsia="en-US"/>
    </w:rPr>
  </w:style>
  <w:style w:type="paragraph" w:customStyle="1" w:styleId="msolistparagraph0">
    <w:name w:val="msolistparagraph"/>
    <w:basedOn w:val="Normal"/>
    <w:uiPriority w:val="99"/>
    <w:rsid w:val="00481933"/>
    <w:pPr>
      <w:ind w:left="720"/>
    </w:pPr>
    <w:rPr>
      <w:rFonts w:ascii="Calibri" w:hAnsi="Calibri"/>
      <w:sz w:val="22"/>
      <w:szCs w:val="22"/>
      <w:lang w:val="es-ES"/>
    </w:rPr>
  </w:style>
  <w:style w:type="paragraph" w:customStyle="1" w:styleId="textoindependiente210">
    <w:name w:val="textoindependiente21"/>
    <w:basedOn w:val="Normal"/>
    <w:uiPriority w:val="99"/>
    <w:rsid w:val="00481933"/>
    <w:pPr>
      <w:jc w:val="both"/>
    </w:pPr>
    <w:rPr>
      <w:b/>
      <w:bCs/>
      <w:sz w:val="22"/>
      <w:szCs w:val="22"/>
      <w:lang w:val="es-ES"/>
    </w:rPr>
  </w:style>
  <w:style w:type="paragraph" w:customStyle="1" w:styleId="style20">
    <w:name w:val="style2"/>
    <w:basedOn w:val="Normal"/>
    <w:uiPriority w:val="99"/>
    <w:rsid w:val="00481933"/>
    <w:pPr>
      <w:spacing w:before="100" w:beforeAutospacing="1" w:after="100" w:afterAutospacing="1"/>
    </w:pPr>
    <w:rPr>
      <w:lang w:val="es-ES"/>
    </w:rPr>
  </w:style>
  <w:style w:type="paragraph" w:customStyle="1" w:styleId="TitleBC">
    <w:name w:val="Title BC"/>
    <w:basedOn w:val="Normal"/>
    <w:next w:val="Textoindependiente"/>
    <w:uiPriority w:val="99"/>
    <w:rsid w:val="00481933"/>
    <w:pPr>
      <w:keepNext/>
      <w:autoSpaceDE w:val="0"/>
      <w:autoSpaceDN w:val="0"/>
      <w:adjustRightInd w:val="0"/>
      <w:spacing w:after="240"/>
      <w:jc w:val="center"/>
      <w:outlineLvl w:val="0"/>
    </w:pPr>
    <w:rPr>
      <w:b/>
      <w:bCs/>
      <w:caps/>
      <w:sz w:val="20"/>
      <w:szCs w:val="20"/>
      <w:lang w:val="en-US" w:eastAsia="en-US"/>
    </w:rPr>
  </w:style>
  <w:style w:type="paragraph" w:customStyle="1" w:styleId="BodyText2SglJ">
    <w:name w:val="Body Text 2 Sgl J"/>
    <w:aliases w:val="CG-Bullet2"/>
    <w:basedOn w:val="Normal"/>
    <w:uiPriority w:val="99"/>
    <w:rsid w:val="00481933"/>
    <w:pPr>
      <w:autoSpaceDE w:val="0"/>
      <w:autoSpaceDN w:val="0"/>
      <w:adjustRightInd w:val="0"/>
      <w:spacing w:after="240"/>
      <w:ind w:firstLine="720"/>
      <w:jc w:val="both"/>
    </w:pPr>
    <w:rPr>
      <w:sz w:val="20"/>
      <w:szCs w:val="20"/>
      <w:lang w:val="en-US" w:eastAsia="en-US"/>
    </w:rPr>
  </w:style>
  <w:style w:type="paragraph" w:customStyle="1" w:styleId="OmniPage1">
    <w:name w:val="OmniPage #1"/>
    <w:basedOn w:val="Normal"/>
    <w:uiPriority w:val="99"/>
    <w:rsid w:val="00481933"/>
    <w:pPr>
      <w:spacing w:line="220" w:lineRule="exact"/>
    </w:pPr>
    <w:rPr>
      <w:sz w:val="20"/>
      <w:szCs w:val="20"/>
      <w:lang w:val="en-US"/>
    </w:rPr>
  </w:style>
  <w:style w:type="paragraph" w:customStyle="1" w:styleId="CPNormalLeftBOLD">
    <w:name w:val="CPNormalLeft (BOLD)"/>
    <w:basedOn w:val="Normal"/>
    <w:rsid w:val="00481933"/>
    <w:pPr>
      <w:tabs>
        <w:tab w:val="right" w:pos="900"/>
        <w:tab w:val="left" w:pos="1170"/>
      </w:tabs>
      <w:spacing w:after="200"/>
      <w:jc w:val="both"/>
    </w:pPr>
    <w:rPr>
      <w:b/>
      <w:sz w:val="20"/>
      <w:szCs w:val="20"/>
      <w:lang w:val="en-US" w:eastAsia="en-US"/>
    </w:rPr>
  </w:style>
  <w:style w:type="paragraph" w:customStyle="1" w:styleId="texto0">
    <w:name w:val="texto"/>
    <w:basedOn w:val="Normal"/>
    <w:uiPriority w:val="99"/>
    <w:rsid w:val="00481933"/>
    <w:pPr>
      <w:jc w:val="both"/>
    </w:pPr>
    <w:rPr>
      <w:rFonts w:ascii="Book Antiqua" w:hAnsi="Book Antiqua"/>
      <w:sz w:val="20"/>
      <w:szCs w:val="20"/>
      <w:lang w:val="es-ES"/>
    </w:rPr>
  </w:style>
  <w:style w:type="paragraph" w:styleId="Prrafodelista">
    <w:name w:val="List Paragraph"/>
    <w:basedOn w:val="Normal"/>
    <w:link w:val="PrrafodelistaCar"/>
    <w:uiPriority w:val="34"/>
    <w:qFormat/>
    <w:rsid w:val="00481933"/>
    <w:pPr>
      <w:ind w:left="720"/>
      <w:contextualSpacing/>
    </w:pPr>
  </w:style>
  <w:style w:type="character" w:customStyle="1" w:styleId="PrrafodelistaCar">
    <w:name w:val="Párrafo de lista Car"/>
    <w:link w:val="Prrafodelista"/>
    <w:uiPriority w:val="34"/>
    <w:locked/>
    <w:rsid w:val="00481933"/>
    <w:rPr>
      <w:rFonts w:ascii="Times New Roman" w:eastAsia="Times New Roman" w:hAnsi="Times New Roman" w:cs="Times New Roman"/>
      <w:sz w:val="24"/>
      <w:szCs w:val="24"/>
      <w:lang w:eastAsia="es-ES"/>
    </w:rPr>
  </w:style>
  <w:style w:type="paragraph" w:customStyle="1" w:styleId="Prrafodelista2">
    <w:name w:val="Párrafo de lista2"/>
    <w:basedOn w:val="Normal"/>
    <w:rsid w:val="00481933"/>
    <w:pPr>
      <w:widowControl w:val="0"/>
      <w:ind w:left="708"/>
    </w:pPr>
    <w:rPr>
      <w:szCs w:val="20"/>
      <w:lang w:val="en-US"/>
    </w:rPr>
  </w:style>
  <w:style w:type="paragraph" w:customStyle="1" w:styleId="Prrafodelista3">
    <w:name w:val="Párrafo de lista3"/>
    <w:basedOn w:val="Normal"/>
    <w:uiPriority w:val="99"/>
    <w:rsid w:val="00481933"/>
    <w:pPr>
      <w:widowControl w:val="0"/>
      <w:ind w:left="708"/>
    </w:pPr>
    <w:rPr>
      <w:szCs w:val="20"/>
      <w:lang w:val="en-US"/>
    </w:rPr>
  </w:style>
  <w:style w:type="paragraph" w:customStyle="1" w:styleId="prrafodeartculo">
    <w:name w:val="párrafo de artículo"/>
    <w:basedOn w:val="Normal"/>
    <w:autoRedefine/>
    <w:rsid w:val="00481933"/>
    <w:pPr>
      <w:widowControl w:val="0"/>
      <w:suppressAutoHyphens/>
      <w:jc w:val="both"/>
    </w:pPr>
    <w:rPr>
      <w:b/>
      <w:bCs/>
      <w:sz w:val="20"/>
      <w:szCs w:val="19"/>
      <w:lang w:val="es-ES_tradnl"/>
    </w:rPr>
  </w:style>
  <w:style w:type="character" w:customStyle="1" w:styleId="cuit">
    <w:name w:val="cuit"/>
    <w:uiPriority w:val="99"/>
    <w:rsid w:val="00481933"/>
  </w:style>
  <w:style w:type="paragraph" w:customStyle="1" w:styleId="ListParagraph3">
    <w:name w:val="List Paragraph3"/>
    <w:basedOn w:val="Normal"/>
    <w:uiPriority w:val="99"/>
    <w:rsid w:val="00481933"/>
    <w:pPr>
      <w:ind w:left="720"/>
    </w:pPr>
    <w:rPr>
      <w:rFonts w:ascii="Calibri" w:hAnsi="Calibri"/>
      <w:sz w:val="22"/>
      <w:szCs w:val="22"/>
      <w:lang w:val="es-ES"/>
    </w:rPr>
  </w:style>
  <w:style w:type="paragraph" w:customStyle="1" w:styleId="notaalpie1">
    <w:name w:val="notaalpie"/>
    <w:basedOn w:val="Normal"/>
    <w:uiPriority w:val="99"/>
    <w:rsid w:val="00481933"/>
    <w:pPr>
      <w:jc w:val="both"/>
    </w:pPr>
    <w:rPr>
      <w:rFonts w:ascii="Arial" w:eastAsia="Arial Unicode MS" w:hAnsi="Arial" w:cs="Arial"/>
      <w:sz w:val="20"/>
      <w:szCs w:val="20"/>
      <w:lang w:val="es-ES"/>
    </w:rPr>
  </w:style>
  <w:style w:type="character" w:customStyle="1" w:styleId="st1">
    <w:name w:val="st1"/>
    <w:uiPriority w:val="99"/>
    <w:rsid w:val="00481933"/>
    <w:rPr>
      <w:rFonts w:cs="Times New Roman"/>
    </w:rPr>
  </w:style>
  <w:style w:type="character" w:customStyle="1" w:styleId="TtuloCar">
    <w:name w:val="Título Car"/>
    <w:uiPriority w:val="99"/>
    <w:rsid w:val="00481933"/>
    <w:rPr>
      <w:rFonts w:ascii="Arial" w:hAnsi="Arial"/>
      <w:b/>
      <w:sz w:val="72"/>
    </w:rPr>
  </w:style>
  <w:style w:type="paragraph" w:customStyle="1" w:styleId="TextoTS">
    <w:name w:val="Texto TS"/>
    <w:basedOn w:val="Normal"/>
    <w:link w:val="TextoTSCar"/>
    <w:uiPriority w:val="99"/>
    <w:rsid w:val="00481933"/>
    <w:pPr>
      <w:spacing w:before="120" w:after="200"/>
      <w:jc w:val="both"/>
    </w:pPr>
    <w:rPr>
      <w:sz w:val="22"/>
      <w:szCs w:val="20"/>
    </w:rPr>
  </w:style>
  <w:style w:type="character" w:customStyle="1" w:styleId="TextoTSCar">
    <w:name w:val="Texto TS Car"/>
    <w:link w:val="TextoTS"/>
    <w:uiPriority w:val="99"/>
    <w:locked/>
    <w:rsid w:val="00481933"/>
    <w:rPr>
      <w:rFonts w:ascii="Times New Roman" w:eastAsia="Times New Roman" w:hAnsi="Times New Roman" w:cs="Times New Roman"/>
      <w:szCs w:val="20"/>
      <w:lang w:eastAsia="es-ES"/>
    </w:rPr>
  </w:style>
  <w:style w:type="paragraph" w:customStyle="1" w:styleId="Ttulo3TS">
    <w:name w:val="Título 3 TS"/>
    <w:basedOn w:val="Normal"/>
    <w:link w:val="Ttulo3TSCar"/>
    <w:autoRedefine/>
    <w:uiPriority w:val="99"/>
    <w:rsid w:val="00481933"/>
    <w:pPr>
      <w:widowControl w:val="0"/>
      <w:autoSpaceDE w:val="0"/>
      <w:autoSpaceDN w:val="0"/>
      <w:adjustRightInd w:val="0"/>
      <w:spacing w:after="200"/>
      <w:ind w:right="-11"/>
      <w:outlineLvl w:val="3"/>
    </w:pPr>
    <w:rPr>
      <w:b/>
      <w:sz w:val="22"/>
      <w:szCs w:val="20"/>
    </w:rPr>
  </w:style>
  <w:style w:type="character" w:customStyle="1" w:styleId="Ttulo3TSCar">
    <w:name w:val="Título 3 TS Car"/>
    <w:link w:val="Ttulo3TS"/>
    <w:uiPriority w:val="99"/>
    <w:locked/>
    <w:rsid w:val="00481933"/>
    <w:rPr>
      <w:rFonts w:ascii="Times New Roman" w:eastAsia="Times New Roman" w:hAnsi="Times New Roman" w:cs="Times New Roman"/>
      <w:b/>
      <w:szCs w:val="20"/>
      <w:lang w:eastAsia="es-ES"/>
    </w:rPr>
  </w:style>
  <w:style w:type="character" w:customStyle="1" w:styleId="bora-persona">
    <w:name w:val="bora-persona"/>
    <w:rsid w:val="00481933"/>
    <w:rPr>
      <w:rFonts w:cs="Times New Roman"/>
    </w:rPr>
  </w:style>
  <w:style w:type="character" w:customStyle="1" w:styleId="Car21">
    <w:name w:val="Car21"/>
    <w:uiPriority w:val="99"/>
    <w:rsid w:val="00481933"/>
    <w:rPr>
      <w:rFonts w:ascii="Arial" w:hAnsi="Arial"/>
    </w:rPr>
  </w:style>
  <w:style w:type="paragraph" w:styleId="Listaconnmeros5">
    <w:name w:val="List Number 5"/>
    <w:basedOn w:val="Normal"/>
    <w:uiPriority w:val="99"/>
    <w:rsid w:val="00481933"/>
    <w:pPr>
      <w:tabs>
        <w:tab w:val="num" w:pos="1492"/>
      </w:tabs>
      <w:ind w:left="1492" w:hanging="360"/>
      <w:jc w:val="both"/>
    </w:pPr>
    <w:rPr>
      <w:rFonts w:ascii="Arial" w:hAnsi="Arial" w:cs="Arial"/>
      <w:sz w:val="26"/>
      <w:szCs w:val="26"/>
      <w:lang w:val="es-ES_tradnl"/>
    </w:rPr>
  </w:style>
  <w:style w:type="paragraph" w:customStyle="1" w:styleId="BHTexto">
    <w:name w:val="BH Texto"/>
    <w:basedOn w:val="Normal"/>
    <w:link w:val="BHTextoCar"/>
    <w:qFormat/>
    <w:rsid w:val="00481933"/>
    <w:pPr>
      <w:autoSpaceDE w:val="0"/>
      <w:autoSpaceDN w:val="0"/>
      <w:adjustRightInd w:val="0"/>
      <w:spacing w:before="120" w:after="120"/>
      <w:jc w:val="both"/>
    </w:pPr>
    <w:rPr>
      <w:rFonts w:eastAsia="Calibri"/>
      <w:sz w:val="20"/>
      <w:szCs w:val="20"/>
      <w:lang w:val="en-US"/>
    </w:rPr>
  </w:style>
  <w:style w:type="character" w:customStyle="1" w:styleId="BHTextoCar">
    <w:name w:val="BH Texto Car"/>
    <w:link w:val="BHTexto"/>
    <w:rsid w:val="00481933"/>
    <w:rPr>
      <w:rFonts w:ascii="Times New Roman" w:eastAsia="Calibri" w:hAnsi="Times New Roman" w:cs="Times New Roman"/>
      <w:sz w:val="20"/>
      <w:szCs w:val="20"/>
      <w:lang w:val="en-US" w:eastAsia="es-ES"/>
    </w:rPr>
  </w:style>
  <w:style w:type="character" w:customStyle="1" w:styleId="apple-converted-space">
    <w:name w:val="apple-converted-space"/>
    <w:rsid w:val="00481933"/>
  </w:style>
  <w:style w:type="paragraph" w:customStyle="1" w:styleId="HPCarta">
    <w:name w:val="HP Carta"/>
    <w:rsid w:val="00481933"/>
    <w:pPr>
      <w:widowControl w:val="0"/>
      <w:tabs>
        <w:tab w:val="left" w:pos="-720"/>
      </w:tabs>
      <w:suppressAutoHyphens/>
      <w:spacing w:after="0" w:line="360" w:lineRule="auto"/>
    </w:pPr>
    <w:rPr>
      <w:rFonts w:ascii="Courier" w:eastAsia="Times New Roman" w:hAnsi="Courier" w:cs="Times New Roman"/>
      <w:sz w:val="24"/>
      <w:szCs w:val="20"/>
      <w:lang w:val="es-ES" w:eastAsia="es-ES"/>
    </w:rPr>
  </w:style>
  <w:style w:type="character" w:customStyle="1" w:styleId="DeltaViewInsertion">
    <w:name w:val="DeltaView Insertion"/>
    <w:uiPriority w:val="99"/>
    <w:rsid w:val="00481933"/>
    <w:rPr>
      <w:color w:val="0000FF"/>
      <w:u w:val="double"/>
    </w:rPr>
  </w:style>
  <w:style w:type="character" w:customStyle="1" w:styleId="DeltaViewDeletion">
    <w:name w:val="DeltaView Deletion"/>
    <w:uiPriority w:val="99"/>
    <w:rsid w:val="00481933"/>
    <w:rPr>
      <w:strike/>
      <w:color w:val="FF0000"/>
    </w:rPr>
  </w:style>
  <w:style w:type="paragraph" w:customStyle="1" w:styleId="Estilo1">
    <w:name w:val="Estilo1"/>
    <w:basedOn w:val="Normal"/>
    <w:uiPriority w:val="99"/>
    <w:rsid w:val="00481933"/>
    <w:pPr>
      <w:widowControl w:val="0"/>
      <w:tabs>
        <w:tab w:val="left" w:pos="8640"/>
      </w:tabs>
      <w:autoSpaceDE w:val="0"/>
      <w:autoSpaceDN w:val="0"/>
      <w:adjustRightInd w:val="0"/>
      <w:spacing w:before="100" w:beforeAutospacing="1" w:after="100" w:afterAutospacing="1"/>
      <w:ind w:right="6"/>
      <w:jc w:val="both"/>
    </w:pPr>
    <w:rPr>
      <w:rFonts w:ascii="Sabon MT" w:hAnsi="Sabon MT" w:cs="Sabon MT"/>
      <w:sz w:val="20"/>
      <w:szCs w:val="20"/>
      <w:lang w:eastAsia="es-AR"/>
    </w:rPr>
  </w:style>
  <w:style w:type="paragraph" w:styleId="TDC1">
    <w:name w:val="toc 1"/>
    <w:basedOn w:val="Normal"/>
    <w:next w:val="Normal"/>
    <w:autoRedefine/>
    <w:uiPriority w:val="39"/>
    <w:unhideWhenUsed/>
    <w:rsid w:val="00481933"/>
  </w:style>
  <w:style w:type="paragraph" w:styleId="TDC2">
    <w:name w:val="toc 2"/>
    <w:basedOn w:val="Normal"/>
    <w:next w:val="Normal"/>
    <w:autoRedefine/>
    <w:uiPriority w:val="39"/>
    <w:unhideWhenUsed/>
    <w:rsid w:val="00481933"/>
    <w:pPr>
      <w:ind w:left="240"/>
    </w:pPr>
  </w:style>
  <w:style w:type="paragraph" w:styleId="TDC3">
    <w:name w:val="toc 3"/>
    <w:basedOn w:val="Normal"/>
    <w:next w:val="Normal"/>
    <w:autoRedefine/>
    <w:uiPriority w:val="39"/>
    <w:unhideWhenUsed/>
    <w:rsid w:val="00481933"/>
    <w:pPr>
      <w:ind w:left="480"/>
    </w:pPr>
  </w:style>
  <w:style w:type="paragraph" w:customStyle="1" w:styleId="legales1">
    <w:name w:val="legales1"/>
    <w:basedOn w:val="Normal"/>
    <w:rsid w:val="00481933"/>
    <w:pPr>
      <w:spacing w:after="300"/>
      <w:jc w:val="both"/>
    </w:pPr>
    <w:rPr>
      <w:color w:val="999999"/>
      <w:sz w:val="17"/>
      <w:szCs w:val="17"/>
      <w:lang w:eastAsia="es-AR"/>
    </w:rPr>
  </w:style>
  <w:style w:type="paragraph" w:styleId="Ttulo">
    <w:name w:val="Title"/>
    <w:basedOn w:val="Normal"/>
    <w:link w:val="TtuloCar2"/>
    <w:qFormat/>
    <w:rsid w:val="00481933"/>
    <w:pPr>
      <w:widowControl w:val="0"/>
      <w:spacing w:after="120"/>
      <w:jc w:val="center"/>
    </w:pPr>
    <w:rPr>
      <w:rFonts w:ascii="Arial" w:hAnsi="Arial"/>
      <w:b/>
      <w:sz w:val="72"/>
      <w:szCs w:val="20"/>
    </w:rPr>
  </w:style>
  <w:style w:type="character" w:customStyle="1" w:styleId="TtuloCar2">
    <w:name w:val="Título Car2"/>
    <w:basedOn w:val="Fuentedeprrafopredeter"/>
    <w:link w:val="Ttulo"/>
    <w:rsid w:val="00481933"/>
    <w:rPr>
      <w:rFonts w:ascii="Arial" w:eastAsia="Times New Roman" w:hAnsi="Arial" w:cs="Times New Roman"/>
      <w:b/>
      <w:sz w:val="72"/>
      <w:szCs w:val="20"/>
    </w:rPr>
  </w:style>
  <w:style w:type="paragraph" w:customStyle="1" w:styleId="0-Texto">
    <w:name w:val="0 - Texto"/>
    <w:qFormat/>
    <w:rsid w:val="00481933"/>
    <w:pPr>
      <w:tabs>
        <w:tab w:val="left" w:pos="708"/>
        <w:tab w:val="left" w:pos="1416"/>
        <w:tab w:val="left" w:pos="2124"/>
        <w:tab w:val="left" w:pos="2832"/>
        <w:tab w:val="left" w:pos="3540"/>
        <w:tab w:val="left" w:pos="4248"/>
        <w:tab w:val="left" w:pos="4956"/>
        <w:tab w:val="left" w:pos="6564"/>
      </w:tabs>
      <w:autoSpaceDE w:val="0"/>
      <w:autoSpaceDN w:val="0"/>
      <w:adjustRightInd w:val="0"/>
      <w:spacing w:after="0"/>
      <w:jc w:val="both"/>
    </w:pPr>
    <w:rPr>
      <w:rFonts w:ascii="Arial" w:eastAsia="Times New Roman" w:hAnsi="Arial" w:cs="Courier New"/>
      <w:bCs/>
      <w:lang w:eastAsia="es-AR"/>
    </w:rPr>
  </w:style>
  <w:style w:type="character" w:customStyle="1" w:styleId="EncabezadoCar1">
    <w:name w:val="Encabezado Car1"/>
    <w:aliases w:val="encabezado Car1,encabezado1 Car1,encabezado2 Car1,Page Header Car1"/>
    <w:basedOn w:val="Fuentedeprrafopredeter"/>
    <w:uiPriority w:val="99"/>
    <w:locked/>
    <w:rsid w:val="00481933"/>
    <w:rPr>
      <w:rFonts w:ascii="Arial" w:hAnsi="Arial" w:cs="Arial"/>
      <w:sz w:val="26"/>
      <w:szCs w:val="26"/>
      <w:lang w:val="es-ES_tradnl" w:eastAsia="es-ES"/>
    </w:rPr>
  </w:style>
  <w:style w:type="paragraph" w:customStyle="1" w:styleId="textopredeterminado1">
    <w:name w:val="textopredeterminado1"/>
    <w:basedOn w:val="Normal"/>
    <w:rsid w:val="00481933"/>
    <w:pPr>
      <w:spacing w:before="100" w:beforeAutospacing="1" w:after="100" w:afterAutospacing="1"/>
    </w:pPr>
    <w:rPr>
      <w:rFonts w:ascii="Arial" w:eastAsia="Calibri" w:hAnsi="Arial"/>
      <w:lang w:val="es-ES"/>
    </w:rPr>
  </w:style>
  <w:style w:type="character" w:customStyle="1" w:styleId="characterstyle10">
    <w:name w:val="characterstyle1"/>
    <w:basedOn w:val="Fuentedeprrafopredeter"/>
    <w:rsid w:val="00481933"/>
  </w:style>
  <w:style w:type="paragraph" w:customStyle="1" w:styleId="Carta">
    <w:name w:val="Carta"/>
    <w:rsid w:val="00481933"/>
    <w:pPr>
      <w:widowControl w:val="0"/>
      <w:tabs>
        <w:tab w:val="left" w:pos="-720"/>
      </w:tabs>
      <w:suppressAutoHyphens/>
      <w:spacing w:after="0" w:line="360" w:lineRule="auto"/>
    </w:pPr>
    <w:rPr>
      <w:rFonts w:ascii="Courier" w:eastAsia="Times New Roman" w:hAnsi="Courier" w:cs="Times New Roman"/>
      <w:sz w:val="24"/>
      <w:szCs w:val="20"/>
      <w:lang w:val="en-US"/>
    </w:rPr>
  </w:style>
  <w:style w:type="paragraph" w:customStyle="1" w:styleId="BDOtextogeneral">
    <w:name w:val="BDO texto general"/>
    <w:basedOn w:val="Normal"/>
    <w:uiPriority w:val="99"/>
    <w:rsid w:val="00481933"/>
    <w:pPr>
      <w:tabs>
        <w:tab w:val="left" w:pos="0"/>
      </w:tabs>
      <w:jc w:val="both"/>
    </w:pPr>
    <w:rPr>
      <w:rFonts w:ascii="Trebuchet MS" w:hAnsi="Trebuchet MS" w:cs="Arial"/>
      <w:color w:val="786860"/>
      <w:sz w:val="20"/>
      <w:szCs w:val="20"/>
      <w:lang w:val="es-ES_tradnl"/>
    </w:rPr>
  </w:style>
  <w:style w:type="character" w:customStyle="1" w:styleId="normaltextrun">
    <w:name w:val="normaltextrun"/>
    <w:basedOn w:val="Fuentedeprrafopredeter"/>
    <w:rsid w:val="00481933"/>
  </w:style>
  <w:style w:type="character" w:customStyle="1" w:styleId="eop">
    <w:name w:val="eop"/>
    <w:basedOn w:val="Fuentedeprrafopredeter"/>
    <w:rsid w:val="00481933"/>
  </w:style>
  <w:style w:type="character" w:styleId="nfasissutil">
    <w:name w:val="Subtle Emphasis"/>
    <w:uiPriority w:val="19"/>
    <w:qFormat/>
    <w:rsid w:val="00481933"/>
    <w:rPr>
      <w:i/>
      <w:iCs/>
      <w:color w:val="808080"/>
    </w:rPr>
  </w:style>
  <w:style w:type="paragraph" w:customStyle="1" w:styleId="paragraph">
    <w:name w:val="paragraph"/>
    <w:basedOn w:val="Normal"/>
    <w:rsid w:val="00481933"/>
    <w:pPr>
      <w:spacing w:before="100" w:beforeAutospacing="1" w:after="100" w:afterAutospacing="1"/>
    </w:pPr>
    <w:rPr>
      <w:lang w:eastAsia="es-AR"/>
    </w:rPr>
  </w:style>
  <w:style w:type="paragraph" w:styleId="Textonotaalfinal">
    <w:name w:val="endnote text"/>
    <w:basedOn w:val="Normal"/>
    <w:link w:val="TextonotaalfinalCar"/>
    <w:uiPriority w:val="99"/>
    <w:semiHidden/>
    <w:unhideWhenUsed/>
    <w:rsid w:val="00481933"/>
    <w:rPr>
      <w:rFonts w:ascii="Calibri" w:hAnsi="Calibri"/>
      <w:sz w:val="20"/>
      <w:szCs w:val="20"/>
      <w:lang w:val="es-ES_tradnl"/>
    </w:rPr>
  </w:style>
  <w:style w:type="character" w:customStyle="1" w:styleId="TextonotaalfinalCar">
    <w:name w:val="Texto nota al final Car"/>
    <w:basedOn w:val="Fuentedeprrafopredeter"/>
    <w:link w:val="Textonotaalfinal"/>
    <w:uiPriority w:val="99"/>
    <w:semiHidden/>
    <w:rsid w:val="00481933"/>
    <w:rPr>
      <w:rFonts w:ascii="Calibri" w:eastAsia="Times New Roman" w:hAnsi="Calibri" w:cs="Times New Roman"/>
      <w:sz w:val="20"/>
      <w:szCs w:val="20"/>
      <w:lang w:val="es-ES_tradnl" w:eastAsia="es-ES"/>
    </w:rPr>
  </w:style>
  <w:style w:type="character" w:styleId="Refdenotaalfinal">
    <w:name w:val="endnote reference"/>
    <w:uiPriority w:val="99"/>
    <w:semiHidden/>
    <w:unhideWhenUsed/>
    <w:rsid w:val="00481933"/>
    <w:rPr>
      <w:vertAlign w:val="superscript"/>
    </w:rPr>
  </w:style>
  <w:style w:type="paragraph" w:styleId="Revisin">
    <w:name w:val="Revision"/>
    <w:hidden/>
    <w:uiPriority w:val="99"/>
    <w:semiHidden/>
    <w:rsid w:val="004B49BE"/>
    <w:pPr>
      <w:spacing w:after="0" w:line="240" w:lineRule="auto"/>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4B49BE"/>
    <w:rPr>
      <w:color w:val="605E5C"/>
      <w:shd w:val="clear" w:color="auto" w:fill="E1DFDD"/>
    </w:rPr>
  </w:style>
  <w:style w:type="table" w:customStyle="1" w:styleId="GridTable5Dark-Accent21">
    <w:name w:val="Grid Table 5 Dark - Accent 21"/>
    <w:basedOn w:val="Tablanormal"/>
    <w:uiPriority w:val="50"/>
    <w:rsid w:val="00C974DA"/>
    <w:pPr>
      <w:spacing w:after="0" w:line="240" w:lineRule="auto"/>
    </w:pPr>
    <w:rPr>
      <w:rFonts w:eastAsiaTheme="minorEastAsia"/>
      <w:sz w:val="24"/>
      <w:szCs w:val="24"/>
      <w:lang w:val="en-U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
    <w:name w:val="Table Grid"/>
    <w:basedOn w:val="Tablanormal"/>
    <w:uiPriority w:val="59"/>
    <w:rsid w:val="00B670C7"/>
    <w:pPr>
      <w:spacing w:after="0" w:line="240" w:lineRule="auto"/>
    </w:pPr>
    <w:rPr>
      <w:rFonts w:ascii="Calibri" w:eastAsia="Calibri"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index">
    <w:name w:val="tab-index"/>
    <w:basedOn w:val="Normal"/>
    <w:rsid w:val="00B670C7"/>
    <w:pPr>
      <w:spacing w:before="100" w:beforeAutospacing="1" w:after="100" w:afterAutospacing="1"/>
    </w:pPr>
    <w:rPr>
      <w:lang w:val="en-US" w:eastAsia="en-US"/>
    </w:rPr>
  </w:style>
  <w:style w:type="paragraph" w:customStyle="1" w:styleId="xmsonormal">
    <w:name w:val="x_msonormal"/>
    <w:basedOn w:val="Normal"/>
    <w:rsid w:val="00E12D6F"/>
    <w:rPr>
      <w:rFonts w:eastAsia="Calibri"/>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763">
      <w:bodyDiv w:val="1"/>
      <w:marLeft w:val="0"/>
      <w:marRight w:val="0"/>
      <w:marTop w:val="0"/>
      <w:marBottom w:val="0"/>
      <w:divBdr>
        <w:top w:val="none" w:sz="0" w:space="0" w:color="auto"/>
        <w:left w:val="none" w:sz="0" w:space="0" w:color="auto"/>
        <w:bottom w:val="none" w:sz="0" w:space="0" w:color="auto"/>
        <w:right w:val="none" w:sz="0" w:space="0" w:color="auto"/>
      </w:divBdr>
    </w:div>
    <w:div w:id="80761959">
      <w:bodyDiv w:val="1"/>
      <w:marLeft w:val="0"/>
      <w:marRight w:val="0"/>
      <w:marTop w:val="0"/>
      <w:marBottom w:val="0"/>
      <w:divBdr>
        <w:top w:val="none" w:sz="0" w:space="0" w:color="auto"/>
        <w:left w:val="none" w:sz="0" w:space="0" w:color="auto"/>
        <w:bottom w:val="none" w:sz="0" w:space="0" w:color="auto"/>
        <w:right w:val="none" w:sz="0" w:space="0" w:color="auto"/>
      </w:divBdr>
    </w:div>
    <w:div w:id="85271434">
      <w:bodyDiv w:val="1"/>
      <w:marLeft w:val="0"/>
      <w:marRight w:val="0"/>
      <w:marTop w:val="0"/>
      <w:marBottom w:val="0"/>
      <w:divBdr>
        <w:top w:val="none" w:sz="0" w:space="0" w:color="auto"/>
        <w:left w:val="none" w:sz="0" w:space="0" w:color="auto"/>
        <w:bottom w:val="none" w:sz="0" w:space="0" w:color="auto"/>
        <w:right w:val="none" w:sz="0" w:space="0" w:color="auto"/>
      </w:divBdr>
    </w:div>
    <w:div w:id="184029168">
      <w:bodyDiv w:val="1"/>
      <w:marLeft w:val="0"/>
      <w:marRight w:val="0"/>
      <w:marTop w:val="0"/>
      <w:marBottom w:val="0"/>
      <w:divBdr>
        <w:top w:val="none" w:sz="0" w:space="0" w:color="auto"/>
        <w:left w:val="none" w:sz="0" w:space="0" w:color="auto"/>
        <w:bottom w:val="none" w:sz="0" w:space="0" w:color="auto"/>
        <w:right w:val="none" w:sz="0" w:space="0" w:color="auto"/>
      </w:divBdr>
    </w:div>
    <w:div w:id="196745813">
      <w:bodyDiv w:val="1"/>
      <w:marLeft w:val="0"/>
      <w:marRight w:val="0"/>
      <w:marTop w:val="0"/>
      <w:marBottom w:val="0"/>
      <w:divBdr>
        <w:top w:val="none" w:sz="0" w:space="0" w:color="auto"/>
        <w:left w:val="none" w:sz="0" w:space="0" w:color="auto"/>
        <w:bottom w:val="none" w:sz="0" w:space="0" w:color="auto"/>
        <w:right w:val="none" w:sz="0" w:space="0" w:color="auto"/>
      </w:divBdr>
    </w:div>
    <w:div w:id="207422994">
      <w:bodyDiv w:val="1"/>
      <w:marLeft w:val="0"/>
      <w:marRight w:val="0"/>
      <w:marTop w:val="0"/>
      <w:marBottom w:val="0"/>
      <w:divBdr>
        <w:top w:val="none" w:sz="0" w:space="0" w:color="auto"/>
        <w:left w:val="none" w:sz="0" w:space="0" w:color="auto"/>
        <w:bottom w:val="none" w:sz="0" w:space="0" w:color="auto"/>
        <w:right w:val="none" w:sz="0" w:space="0" w:color="auto"/>
      </w:divBdr>
    </w:div>
    <w:div w:id="231932073">
      <w:bodyDiv w:val="1"/>
      <w:marLeft w:val="0"/>
      <w:marRight w:val="0"/>
      <w:marTop w:val="0"/>
      <w:marBottom w:val="0"/>
      <w:divBdr>
        <w:top w:val="none" w:sz="0" w:space="0" w:color="auto"/>
        <w:left w:val="none" w:sz="0" w:space="0" w:color="auto"/>
        <w:bottom w:val="none" w:sz="0" w:space="0" w:color="auto"/>
        <w:right w:val="none" w:sz="0" w:space="0" w:color="auto"/>
      </w:divBdr>
    </w:div>
    <w:div w:id="252933593">
      <w:bodyDiv w:val="1"/>
      <w:marLeft w:val="0"/>
      <w:marRight w:val="0"/>
      <w:marTop w:val="0"/>
      <w:marBottom w:val="0"/>
      <w:divBdr>
        <w:top w:val="none" w:sz="0" w:space="0" w:color="auto"/>
        <w:left w:val="none" w:sz="0" w:space="0" w:color="auto"/>
        <w:bottom w:val="none" w:sz="0" w:space="0" w:color="auto"/>
        <w:right w:val="none" w:sz="0" w:space="0" w:color="auto"/>
      </w:divBdr>
    </w:div>
    <w:div w:id="274756415">
      <w:bodyDiv w:val="1"/>
      <w:marLeft w:val="0"/>
      <w:marRight w:val="0"/>
      <w:marTop w:val="0"/>
      <w:marBottom w:val="0"/>
      <w:divBdr>
        <w:top w:val="none" w:sz="0" w:space="0" w:color="auto"/>
        <w:left w:val="none" w:sz="0" w:space="0" w:color="auto"/>
        <w:bottom w:val="none" w:sz="0" w:space="0" w:color="auto"/>
        <w:right w:val="none" w:sz="0" w:space="0" w:color="auto"/>
      </w:divBdr>
    </w:div>
    <w:div w:id="300773095">
      <w:bodyDiv w:val="1"/>
      <w:marLeft w:val="0"/>
      <w:marRight w:val="0"/>
      <w:marTop w:val="0"/>
      <w:marBottom w:val="0"/>
      <w:divBdr>
        <w:top w:val="none" w:sz="0" w:space="0" w:color="auto"/>
        <w:left w:val="none" w:sz="0" w:space="0" w:color="auto"/>
        <w:bottom w:val="none" w:sz="0" w:space="0" w:color="auto"/>
        <w:right w:val="none" w:sz="0" w:space="0" w:color="auto"/>
      </w:divBdr>
    </w:div>
    <w:div w:id="356588969">
      <w:bodyDiv w:val="1"/>
      <w:marLeft w:val="0"/>
      <w:marRight w:val="0"/>
      <w:marTop w:val="0"/>
      <w:marBottom w:val="0"/>
      <w:divBdr>
        <w:top w:val="none" w:sz="0" w:space="0" w:color="auto"/>
        <w:left w:val="none" w:sz="0" w:space="0" w:color="auto"/>
        <w:bottom w:val="none" w:sz="0" w:space="0" w:color="auto"/>
        <w:right w:val="none" w:sz="0" w:space="0" w:color="auto"/>
      </w:divBdr>
    </w:div>
    <w:div w:id="382365709">
      <w:bodyDiv w:val="1"/>
      <w:marLeft w:val="0"/>
      <w:marRight w:val="0"/>
      <w:marTop w:val="0"/>
      <w:marBottom w:val="0"/>
      <w:divBdr>
        <w:top w:val="none" w:sz="0" w:space="0" w:color="auto"/>
        <w:left w:val="none" w:sz="0" w:space="0" w:color="auto"/>
        <w:bottom w:val="none" w:sz="0" w:space="0" w:color="auto"/>
        <w:right w:val="none" w:sz="0" w:space="0" w:color="auto"/>
      </w:divBdr>
    </w:div>
    <w:div w:id="410197422">
      <w:bodyDiv w:val="1"/>
      <w:marLeft w:val="0"/>
      <w:marRight w:val="0"/>
      <w:marTop w:val="0"/>
      <w:marBottom w:val="0"/>
      <w:divBdr>
        <w:top w:val="none" w:sz="0" w:space="0" w:color="auto"/>
        <w:left w:val="none" w:sz="0" w:space="0" w:color="auto"/>
        <w:bottom w:val="none" w:sz="0" w:space="0" w:color="auto"/>
        <w:right w:val="none" w:sz="0" w:space="0" w:color="auto"/>
      </w:divBdr>
    </w:div>
    <w:div w:id="499852966">
      <w:bodyDiv w:val="1"/>
      <w:marLeft w:val="0"/>
      <w:marRight w:val="0"/>
      <w:marTop w:val="0"/>
      <w:marBottom w:val="0"/>
      <w:divBdr>
        <w:top w:val="none" w:sz="0" w:space="0" w:color="auto"/>
        <w:left w:val="none" w:sz="0" w:space="0" w:color="auto"/>
        <w:bottom w:val="none" w:sz="0" w:space="0" w:color="auto"/>
        <w:right w:val="none" w:sz="0" w:space="0" w:color="auto"/>
      </w:divBdr>
    </w:div>
    <w:div w:id="590434892">
      <w:bodyDiv w:val="1"/>
      <w:marLeft w:val="0"/>
      <w:marRight w:val="0"/>
      <w:marTop w:val="0"/>
      <w:marBottom w:val="0"/>
      <w:divBdr>
        <w:top w:val="none" w:sz="0" w:space="0" w:color="auto"/>
        <w:left w:val="none" w:sz="0" w:space="0" w:color="auto"/>
        <w:bottom w:val="none" w:sz="0" w:space="0" w:color="auto"/>
        <w:right w:val="none" w:sz="0" w:space="0" w:color="auto"/>
      </w:divBdr>
    </w:div>
    <w:div w:id="641233051">
      <w:bodyDiv w:val="1"/>
      <w:marLeft w:val="0"/>
      <w:marRight w:val="0"/>
      <w:marTop w:val="0"/>
      <w:marBottom w:val="0"/>
      <w:divBdr>
        <w:top w:val="none" w:sz="0" w:space="0" w:color="auto"/>
        <w:left w:val="none" w:sz="0" w:space="0" w:color="auto"/>
        <w:bottom w:val="none" w:sz="0" w:space="0" w:color="auto"/>
        <w:right w:val="none" w:sz="0" w:space="0" w:color="auto"/>
      </w:divBdr>
    </w:div>
    <w:div w:id="708526848">
      <w:bodyDiv w:val="1"/>
      <w:marLeft w:val="0"/>
      <w:marRight w:val="0"/>
      <w:marTop w:val="0"/>
      <w:marBottom w:val="0"/>
      <w:divBdr>
        <w:top w:val="none" w:sz="0" w:space="0" w:color="auto"/>
        <w:left w:val="none" w:sz="0" w:space="0" w:color="auto"/>
        <w:bottom w:val="none" w:sz="0" w:space="0" w:color="auto"/>
        <w:right w:val="none" w:sz="0" w:space="0" w:color="auto"/>
      </w:divBdr>
      <w:divsChild>
        <w:div w:id="1647666157">
          <w:marLeft w:val="0"/>
          <w:marRight w:val="0"/>
          <w:marTop w:val="0"/>
          <w:marBottom w:val="0"/>
          <w:divBdr>
            <w:top w:val="none" w:sz="0" w:space="0" w:color="auto"/>
            <w:left w:val="none" w:sz="0" w:space="0" w:color="auto"/>
            <w:bottom w:val="none" w:sz="0" w:space="0" w:color="auto"/>
            <w:right w:val="none" w:sz="0" w:space="0" w:color="auto"/>
          </w:divBdr>
          <w:divsChild>
            <w:div w:id="1201631736">
              <w:marLeft w:val="0"/>
              <w:marRight w:val="0"/>
              <w:marTop w:val="0"/>
              <w:marBottom w:val="0"/>
              <w:divBdr>
                <w:top w:val="none" w:sz="0" w:space="0" w:color="auto"/>
                <w:left w:val="none" w:sz="0" w:space="0" w:color="auto"/>
                <w:bottom w:val="none" w:sz="0" w:space="0" w:color="auto"/>
                <w:right w:val="none" w:sz="0" w:space="0" w:color="auto"/>
              </w:divBdr>
              <w:divsChild>
                <w:div w:id="1871797563">
                  <w:marLeft w:val="0"/>
                  <w:marRight w:val="0"/>
                  <w:marTop w:val="0"/>
                  <w:marBottom w:val="0"/>
                  <w:divBdr>
                    <w:top w:val="none" w:sz="0" w:space="0" w:color="auto"/>
                    <w:left w:val="none" w:sz="0" w:space="0" w:color="auto"/>
                    <w:bottom w:val="none" w:sz="0" w:space="0" w:color="auto"/>
                    <w:right w:val="none" w:sz="0" w:space="0" w:color="auto"/>
                  </w:divBdr>
                  <w:divsChild>
                    <w:div w:id="205726780">
                      <w:marLeft w:val="0"/>
                      <w:marRight w:val="0"/>
                      <w:marTop w:val="0"/>
                      <w:marBottom w:val="0"/>
                      <w:divBdr>
                        <w:top w:val="none" w:sz="0" w:space="0" w:color="auto"/>
                        <w:left w:val="none" w:sz="0" w:space="0" w:color="auto"/>
                        <w:bottom w:val="none" w:sz="0" w:space="0" w:color="auto"/>
                        <w:right w:val="none" w:sz="0" w:space="0" w:color="auto"/>
                      </w:divBdr>
                    </w:div>
                    <w:div w:id="92858695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803618179">
          <w:marLeft w:val="0"/>
          <w:marRight w:val="0"/>
          <w:marTop w:val="0"/>
          <w:marBottom w:val="0"/>
          <w:divBdr>
            <w:top w:val="none" w:sz="0" w:space="0" w:color="auto"/>
            <w:left w:val="none" w:sz="0" w:space="0" w:color="auto"/>
            <w:bottom w:val="none" w:sz="0" w:space="0" w:color="auto"/>
            <w:right w:val="none" w:sz="0" w:space="0" w:color="auto"/>
          </w:divBdr>
          <w:divsChild>
            <w:div w:id="1629166543">
              <w:marLeft w:val="0"/>
              <w:marRight w:val="0"/>
              <w:marTop w:val="0"/>
              <w:marBottom w:val="0"/>
              <w:divBdr>
                <w:top w:val="none" w:sz="0" w:space="0" w:color="auto"/>
                <w:left w:val="none" w:sz="0" w:space="0" w:color="auto"/>
                <w:bottom w:val="none" w:sz="0" w:space="0" w:color="auto"/>
                <w:right w:val="none" w:sz="0" w:space="0" w:color="auto"/>
              </w:divBdr>
              <w:divsChild>
                <w:div w:id="242685209">
                  <w:marLeft w:val="0"/>
                  <w:marRight w:val="0"/>
                  <w:marTop w:val="0"/>
                  <w:marBottom w:val="0"/>
                  <w:divBdr>
                    <w:top w:val="none" w:sz="0" w:space="0" w:color="auto"/>
                    <w:left w:val="none" w:sz="0" w:space="0" w:color="auto"/>
                    <w:bottom w:val="none" w:sz="0" w:space="0" w:color="auto"/>
                    <w:right w:val="none" w:sz="0" w:space="0" w:color="auto"/>
                  </w:divBdr>
                  <w:divsChild>
                    <w:div w:id="563372915">
                      <w:marLeft w:val="0"/>
                      <w:marRight w:val="0"/>
                      <w:marTop w:val="0"/>
                      <w:marBottom w:val="525"/>
                      <w:divBdr>
                        <w:top w:val="none" w:sz="0" w:space="0" w:color="auto"/>
                        <w:left w:val="none" w:sz="0" w:space="0" w:color="auto"/>
                        <w:bottom w:val="none" w:sz="0" w:space="0" w:color="auto"/>
                        <w:right w:val="none" w:sz="0" w:space="0" w:color="auto"/>
                      </w:divBdr>
                    </w:div>
                    <w:div w:id="1236402778">
                      <w:marLeft w:val="0"/>
                      <w:marRight w:val="0"/>
                      <w:marTop w:val="0"/>
                      <w:marBottom w:val="0"/>
                      <w:divBdr>
                        <w:top w:val="none" w:sz="0" w:space="0" w:color="auto"/>
                        <w:left w:val="none" w:sz="0" w:space="0" w:color="auto"/>
                        <w:bottom w:val="none" w:sz="0" w:space="0" w:color="auto"/>
                        <w:right w:val="none" w:sz="0" w:space="0" w:color="auto"/>
                      </w:divBdr>
                    </w:div>
                    <w:div w:id="132496638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136028630">
          <w:marLeft w:val="0"/>
          <w:marRight w:val="0"/>
          <w:marTop w:val="0"/>
          <w:marBottom w:val="0"/>
          <w:divBdr>
            <w:top w:val="none" w:sz="0" w:space="0" w:color="auto"/>
            <w:left w:val="none" w:sz="0" w:space="0" w:color="auto"/>
            <w:bottom w:val="none" w:sz="0" w:space="0" w:color="auto"/>
            <w:right w:val="none" w:sz="0" w:space="0" w:color="auto"/>
          </w:divBdr>
          <w:divsChild>
            <w:div w:id="2126462095">
              <w:marLeft w:val="0"/>
              <w:marRight w:val="0"/>
              <w:marTop w:val="0"/>
              <w:marBottom w:val="0"/>
              <w:divBdr>
                <w:top w:val="none" w:sz="0" w:space="0" w:color="auto"/>
                <w:left w:val="none" w:sz="0" w:space="0" w:color="auto"/>
                <w:bottom w:val="none" w:sz="0" w:space="0" w:color="auto"/>
                <w:right w:val="none" w:sz="0" w:space="0" w:color="auto"/>
              </w:divBdr>
              <w:divsChild>
                <w:div w:id="1570379777">
                  <w:marLeft w:val="0"/>
                  <w:marRight w:val="0"/>
                  <w:marTop w:val="0"/>
                  <w:marBottom w:val="0"/>
                  <w:divBdr>
                    <w:top w:val="none" w:sz="0" w:space="0" w:color="auto"/>
                    <w:left w:val="none" w:sz="0" w:space="0" w:color="auto"/>
                    <w:bottom w:val="none" w:sz="0" w:space="0" w:color="auto"/>
                    <w:right w:val="none" w:sz="0" w:space="0" w:color="auto"/>
                  </w:divBdr>
                  <w:divsChild>
                    <w:div w:id="909735576">
                      <w:marLeft w:val="0"/>
                      <w:marRight w:val="0"/>
                      <w:marTop w:val="0"/>
                      <w:marBottom w:val="525"/>
                      <w:divBdr>
                        <w:top w:val="none" w:sz="0" w:space="0" w:color="auto"/>
                        <w:left w:val="none" w:sz="0" w:space="0" w:color="auto"/>
                        <w:bottom w:val="none" w:sz="0" w:space="0" w:color="auto"/>
                        <w:right w:val="none" w:sz="0" w:space="0" w:color="auto"/>
                      </w:divBdr>
                    </w:div>
                    <w:div w:id="14249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7803">
      <w:bodyDiv w:val="1"/>
      <w:marLeft w:val="0"/>
      <w:marRight w:val="0"/>
      <w:marTop w:val="0"/>
      <w:marBottom w:val="0"/>
      <w:divBdr>
        <w:top w:val="none" w:sz="0" w:space="0" w:color="auto"/>
        <w:left w:val="none" w:sz="0" w:space="0" w:color="auto"/>
        <w:bottom w:val="none" w:sz="0" w:space="0" w:color="auto"/>
        <w:right w:val="none" w:sz="0" w:space="0" w:color="auto"/>
      </w:divBdr>
    </w:div>
    <w:div w:id="879509946">
      <w:bodyDiv w:val="1"/>
      <w:marLeft w:val="0"/>
      <w:marRight w:val="0"/>
      <w:marTop w:val="0"/>
      <w:marBottom w:val="0"/>
      <w:divBdr>
        <w:top w:val="none" w:sz="0" w:space="0" w:color="auto"/>
        <w:left w:val="none" w:sz="0" w:space="0" w:color="auto"/>
        <w:bottom w:val="none" w:sz="0" w:space="0" w:color="auto"/>
        <w:right w:val="none" w:sz="0" w:space="0" w:color="auto"/>
      </w:divBdr>
    </w:div>
    <w:div w:id="1030450804">
      <w:bodyDiv w:val="1"/>
      <w:marLeft w:val="0"/>
      <w:marRight w:val="0"/>
      <w:marTop w:val="0"/>
      <w:marBottom w:val="0"/>
      <w:divBdr>
        <w:top w:val="none" w:sz="0" w:space="0" w:color="auto"/>
        <w:left w:val="none" w:sz="0" w:space="0" w:color="auto"/>
        <w:bottom w:val="none" w:sz="0" w:space="0" w:color="auto"/>
        <w:right w:val="none" w:sz="0" w:space="0" w:color="auto"/>
      </w:divBdr>
    </w:div>
    <w:div w:id="1083525847">
      <w:bodyDiv w:val="1"/>
      <w:marLeft w:val="0"/>
      <w:marRight w:val="0"/>
      <w:marTop w:val="0"/>
      <w:marBottom w:val="0"/>
      <w:divBdr>
        <w:top w:val="none" w:sz="0" w:space="0" w:color="auto"/>
        <w:left w:val="none" w:sz="0" w:space="0" w:color="auto"/>
        <w:bottom w:val="none" w:sz="0" w:space="0" w:color="auto"/>
        <w:right w:val="none" w:sz="0" w:space="0" w:color="auto"/>
      </w:divBdr>
    </w:div>
    <w:div w:id="1083993691">
      <w:bodyDiv w:val="1"/>
      <w:marLeft w:val="0"/>
      <w:marRight w:val="0"/>
      <w:marTop w:val="0"/>
      <w:marBottom w:val="0"/>
      <w:divBdr>
        <w:top w:val="none" w:sz="0" w:space="0" w:color="auto"/>
        <w:left w:val="none" w:sz="0" w:space="0" w:color="auto"/>
        <w:bottom w:val="none" w:sz="0" w:space="0" w:color="auto"/>
        <w:right w:val="none" w:sz="0" w:space="0" w:color="auto"/>
      </w:divBdr>
    </w:div>
    <w:div w:id="1084181035">
      <w:bodyDiv w:val="1"/>
      <w:marLeft w:val="0"/>
      <w:marRight w:val="0"/>
      <w:marTop w:val="0"/>
      <w:marBottom w:val="0"/>
      <w:divBdr>
        <w:top w:val="none" w:sz="0" w:space="0" w:color="auto"/>
        <w:left w:val="none" w:sz="0" w:space="0" w:color="auto"/>
        <w:bottom w:val="none" w:sz="0" w:space="0" w:color="auto"/>
        <w:right w:val="none" w:sz="0" w:space="0" w:color="auto"/>
      </w:divBdr>
    </w:div>
    <w:div w:id="1227716061">
      <w:bodyDiv w:val="1"/>
      <w:marLeft w:val="0"/>
      <w:marRight w:val="0"/>
      <w:marTop w:val="0"/>
      <w:marBottom w:val="0"/>
      <w:divBdr>
        <w:top w:val="none" w:sz="0" w:space="0" w:color="auto"/>
        <w:left w:val="none" w:sz="0" w:space="0" w:color="auto"/>
        <w:bottom w:val="none" w:sz="0" w:space="0" w:color="auto"/>
        <w:right w:val="none" w:sz="0" w:space="0" w:color="auto"/>
      </w:divBdr>
      <w:divsChild>
        <w:div w:id="426579836">
          <w:marLeft w:val="0"/>
          <w:marRight w:val="0"/>
          <w:marTop w:val="0"/>
          <w:marBottom w:val="0"/>
          <w:divBdr>
            <w:top w:val="none" w:sz="0" w:space="0" w:color="auto"/>
            <w:left w:val="none" w:sz="0" w:space="0" w:color="auto"/>
            <w:bottom w:val="none" w:sz="0" w:space="0" w:color="auto"/>
            <w:right w:val="none" w:sz="0" w:space="0" w:color="auto"/>
          </w:divBdr>
          <w:divsChild>
            <w:div w:id="1633830230">
              <w:marLeft w:val="0"/>
              <w:marRight w:val="0"/>
              <w:marTop w:val="0"/>
              <w:marBottom w:val="0"/>
              <w:divBdr>
                <w:top w:val="none" w:sz="0" w:space="0" w:color="auto"/>
                <w:left w:val="none" w:sz="0" w:space="0" w:color="auto"/>
                <w:bottom w:val="none" w:sz="0" w:space="0" w:color="auto"/>
                <w:right w:val="none" w:sz="0" w:space="0" w:color="auto"/>
              </w:divBdr>
              <w:divsChild>
                <w:div w:id="1294363675">
                  <w:marLeft w:val="0"/>
                  <w:marRight w:val="0"/>
                  <w:marTop w:val="0"/>
                  <w:marBottom w:val="0"/>
                  <w:divBdr>
                    <w:top w:val="none" w:sz="0" w:space="0" w:color="auto"/>
                    <w:left w:val="none" w:sz="0" w:space="0" w:color="auto"/>
                    <w:bottom w:val="none" w:sz="0" w:space="0" w:color="auto"/>
                    <w:right w:val="none" w:sz="0" w:space="0" w:color="auto"/>
                  </w:divBdr>
                  <w:divsChild>
                    <w:div w:id="694815150">
                      <w:marLeft w:val="0"/>
                      <w:marRight w:val="0"/>
                      <w:marTop w:val="0"/>
                      <w:marBottom w:val="0"/>
                      <w:divBdr>
                        <w:top w:val="none" w:sz="0" w:space="0" w:color="auto"/>
                        <w:left w:val="none" w:sz="0" w:space="0" w:color="auto"/>
                        <w:bottom w:val="none" w:sz="0" w:space="0" w:color="auto"/>
                        <w:right w:val="none" w:sz="0" w:space="0" w:color="auto"/>
                      </w:divBdr>
                    </w:div>
                    <w:div w:id="1715739672">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704255092">
          <w:marLeft w:val="0"/>
          <w:marRight w:val="0"/>
          <w:marTop w:val="0"/>
          <w:marBottom w:val="0"/>
          <w:divBdr>
            <w:top w:val="none" w:sz="0" w:space="0" w:color="auto"/>
            <w:left w:val="none" w:sz="0" w:space="0" w:color="auto"/>
            <w:bottom w:val="none" w:sz="0" w:space="0" w:color="auto"/>
            <w:right w:val="none" w:sz="0" w:space="0" w:color="auto"/>
          </w:divBdr>
          <w:divsChild>
            <w:div w:id="1703164690">
              <w:marLeft w:val="0"/>
              <w:marRight w:val="0"/>
              <w:marTop w:val="0"/>
              <w:marBottom w:val="0"/>
              <w:divBdr>
                <w:top w:val="none" w:sz="0" w:space="0" w:color="auto"/>
                <w:left w:val="none" w:sz="0" w:space="0" w:color="auto"/>
                <w:bottom w:val="none" w:sz="0" w:space="0" w:color="auto"/>
                <w:right w:val="none" w:sz="0" w:space="0" w:color="auto"/>
              </w:divBdr>
              <w:divsChild>
                <w:div w:id="2143645610">
                  <w:marLeft w:val="0"/>
                  <w:marRight w:val="0"/>
                  <w:marTop w:val="0"/>
                  <w:marBottom w:val="0"/>
                  <w:divBdr>
                    <w:top w:val="none" w:sz="0" w:space="0" w:color="auto"/>
                    <w:left w:val="none" w:sz="0" w:space="0" w:color="auto"/>
                    <w:bottom w:val="none" w:sz="0" w:space="0" w:color="auto"/>
                    <w:right w:val="none" w:sz="0" w:space="0" w:color="auto"/>
                  </w:divBdr>
                  <w:divsChild>
                    <w:div w:id="2142842887">
                      <w:marLeft w:val="0"/>
                      <w:marRight w:val="0"/>
                      <w:marTop w:val="0"/>
                      <w:marBottom w:val="525"/>
                      <w:divBdr>
                        <w:top w:val="none" w:sz="0" w:space="0" w:color="auto"/>
                        <w:left w:val="none" w:sz="0" w:space="0" w:color="auto"/>
                        <w:bottom w:val="none" w:sz="0" w:space="0" w:color="auto"/>
                        <w:right w:val="none" w:sz="0" w:space="0" w:color="auto"/>
                      </w:divBdr>
                    </w:div>
                    <w:div w:id="416484179">
                      <w:marLeft w:val="0"/>
                      <w:marRight w:val="0"/>
                      <w:marTop w:val="0"/>
                      <w:marBottom w:val="0"/>
                      <w:divBdr>
                        <w:top w:val="none" w:sz="0" w:space="0" w:color="auto"/>
                        <w:left w:val="none" w:sz="0" w:space="0" w:color="auto"/>
                        <w:bottom w:val="none" w:sz="0" w:space="0" w:color="auto"/>
                        <w:right w:val="none" w:sz="0" w:space="0" w:color="auto"/>
                      </w:divBdr>
                    </w:div>
                    <w:div w:id="1849903386">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935409556">
          <w:marLeft w:val="0"/>
          <w:marRight w:val="0"/>
          <w:marTop w:val="0"/>
          <w:marBottom w:val="0"/>
          <w:divBdr>
            <w:top w:val="none" w:sz="0" w:space="0" w:color="auto"/>
            <w:left w:val="none" w:sz="0" w:space="0" w:color="auto"/>
            <w:bottom w:val="none" w:sz="0" w:space="0" w:color="auto"/>
            <w:right w:val="none" w:sz="0" w:space="0" w:color="auto"/>
          </w:divBdr>
          <w:divsChild>
            <w:div w:id="803933613">
              <w:marLeft w:val="0"/>
              <w:marRight w:val="0"/>
              <w:marTop w:val="0"/>
              <w:marBottom w:val="0"/>
              <w:divBdr>
                <w:top w:val="none" w:sz="0" w:space="0" w:color="auto"/>
                <w:left w:val="none" w:sz="0" w:space="0" w:color="auto"/>
                <w:bottom w:val="none" w:sz="0" w:space="0" w:color="auto"/>
                <w:right w:val="none" w:sz="0" w:space="0" w:color="auto"/>
              </w:divBdr>
              <w:divsChild>
                <w:div w:id="926496449">
                  <w:marLeft w:val="0"/>
                  <w:marRight w:val="0"/>
                  <w:marTop w:val="0"/>
                  <w:marBottom w:val="0"/>
                  <w:divBdr>
                    <w:top w:val="none" w:sz="0" w:space="0" w:color="auto"/>
                    <w:left w:val="none" w:sz="0" w:space="0" w:color="auto"/>
                    <w:bottom w:val="none" w:sz="0" w:space="0" w:color="auto"/>
                    <w:right w:val="none" w:sz="0" w:space="0" w:color="auto"/>
                  </w:divBdr>
                  <w:divsChild>
                    <w:div w:id="626932535">
                      <w:marLeft w:val="0"/>
                      <w:marRight w:val="0"/>
                      <w:marTop w:val="0"/>
                      <w:marBottom w:val="525"/>
                      <w:divBdr>
                        <w:top w:val="none" w:sz="0" w:space="0" w:color="auto"/>
                        <w:left w:val="none" w:sz="0" w:space="0" w:color="auto"/>
                        <w:bottom w:val="none" w:sz="0" w:space="0" w:color="auto"/>
                        <w:right w:val="none" w:sz="0" w:space="0" w:color="auto"/>
                      </w:divBdr>
                    </w:div>
                    <w:div w:id="12902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9814">
      <w:bodyDiv w:val="1"/>
      <w:marLeft w:val="0"/>
      <w:marRight w:val="0"/>
      <w:marTop w:val="0"/>
      <w:marBottom w:val="0"/>
      <w:divBdr>
        <w:top w:val="none" w:sz="0" w:space="0" w:color="auto"/>
        <w:left w:val="none" w:sz="0" w:space="0" w:color="auto"/>
        <w:bottom w:val="none" w:sz="0" w:space="0" w:color="auto"/>
        <w:right w:val="none" w:sz="0" w:space="0" w:color="auto"/>
      </w:divBdr>
      <w:divsChild>
        <w:div w:id="1727023009">
          <w:marLeft w:val="0"/>
          <w:marRight w:val="0"/>
          <w:marTop w:val="0"/>
          <w:marBottom w:val="0"/>
          <w:divBdr>
            <w:top w:val="none" w:sz="0" w:space="0" w:color="auto"/>
            <w:left w:val="none" w:sz="0" w:space="0" w:color="auto"/>
            <w:bottom w:val="none" w:sz="0" w:space="0" w:color="auto"/>
            <w:right w:val="none" w:sz="0" w:space="0" w:color="auto"/>
          </w:divBdr>
        </w:div>
        <w:div w:id="2145540491">
          <w:marLeft w:val="0"/>
          <w:marRight w:val="0"/>
          <w:marTop w:val="0"/>
          <w:marBottom w:val="0"/>
          <w:divBdr>
            <w:top w:val="none" w:sz="0" w:space="0" w:color="auto"/>
            <w:left w:val="none" w:sz="0" w:space="0" w:color="auto"/>
            <w:bottom w:val="none" w:sz="0" w:space="0" w:color="auto"/>
            <w:right w:val="none" w:sz="0" w:space="0" w:color="auto"/>
          </w:divBdr>
        </w:div>
        <w:div w:id="1598440317">
          <w:marLeft w:val="0"/>
          <w:marRight w:val="0"/>
          <w:marTop w:val="0"/>
          <w:marBottom w:val="0"/>
          <w:divBdr>
            <w:top w:val="none" w:sz="0" w:space="0" w:color="auto"/>
            <w:left w:val="none" w:sz="0" w:space="0" w:color="auto"/>
            <w:bottom w:val="none" w:sz="0" w:space="0" w:color="auto"/>
            <w:right w:val="none" w:sz="0" w:space="0" w:color="auto"/>
          </w:divBdr>
        </w:div>
        <w:div w:id="796725228">
          <w:marLeft w:val="0"/>
          <w:marRight w:val="0"/>
          <w:marTop w:val="0"/>
          <w:marBottom w:val="0"/>
          <w:divBdr>
            <w:top w:val="none" w:sz="0" w:space="0" w:color="auto"/>
            <w:left w:val="none" w:sz="0" w:space="0" w:color="auto"/>
            <w:bottom w:val="none" w:sz="0" w:space="0" w:color="auto"/>
            <w:right w:val="none" w:sz="0" w:space="0" w:color="auto"/>
          </w:divBdr>
        </w:div>
      </w:divsChild>
    </w:div>
    <w:div w:id="1403020532">
      <w:bodyDiv w:val="1"/>
      <w:marLeft w:val="0"/>
      <w:marRight w:val="0"/>
      <w:marTop w:val="0"/>
      <w:marBottom w:val="0"/>
      <w:divBdr>
        <w:top w:val="none" w:sz="0" w:space="0" w:color="auto"/>
        <w:left w:val="none" w:sz="0" w:space="0" w:color="auto"/>
        <w:bottom w:val="none" w:sz="0" w:space="0" w:color="auto"/>
        <w:right w:val="none" w:sz="0" w:space="0" w:color="auto"/>
      </w:divBdr>
    </w:div>
    <w:div w:id="1409569611">
      <w:bodyDiv w:val="1"/>
      <w:marLeft w:val="0"/>
      <w:marRight w:val="0"/>
      <w:marTop w:val="0"/>
      <w:marBottom w:val="0"/>
      <w:divBdr>
        <w:top w:val="none" w:sz="0" w:space="0" w:color="auto"/>
        <w:left w:val="none" w:sz="0" w:space="0" w:color="auto"/>
        <w:bottom w:val="none" w:sz="0" w:space="0" w:color="auto"/>
        <w:right w:val="none" w:sz="0" w:space="0" w:color="auto"/>
      </w:divBdr>
    </w:div>
    <w:div w:id="1471365199">
      <w:bodyDiv w:val="1"/>
      <w:marLeft w:val="0"/>
      <w:marRight w:val="0"/>
      <w:marTop w:val="0"/>
      <w:marBottom w:val="0"/>
      <w:divBdr>
        <w:top w:val="none" w:sz="0" w:space="0" w:color="auto"/>
        <w:left w:val="none" w:sz="0" w:space="0" w:color="auto"/>
        <w:bottom w:val="none" w:sz="0" w:space="0" w:color="auto"/>
        <w:right w:val="none" w:sz="0" w:space="0" w:color="auto"/>
      </w:divBdr>
    </w:div>
    <w:div w:id="1498762271">
      <w:bodyDiv w:val="1"/>
      <w:marLeft w:val="0"/>
      <w:marRight w:val="0"/>
      <w:marTop w:val="0"/>
      <w:marBottom w:val="0"/>
      <w:divBdr>
        <w:top w:val="none" w:sz="0" w:space="0" w:color="auto"/>
        <w:left w:val="none" w:sz="0" w:space="0" w:color="auto"/>
        <w:bottom w:val="none" w:sz="0" w:space="0" w:color="auto"/>
        <w:right w:val="none" w:sz="0" w:space="0" w:color="auto"/>
      </w:divBdr>
    </w:div>
    <w:div w:id="1512792204">
      <w:bodyDiv w:val="1"/>
      <w:marLeft w:val="0"/>
      <w:marRight w:val="0"/>
      <w:marTop w:val="0"/>
      <w:marBottom w:val="0"/>
      <w:divBdr>
        <w:top w:val="none" w:sz="0" w:space="0" w:color="auto"/>
        <w:left w:val="none" w:sz="0" w:space="0" w:color="auto"/>
        <w:bottom w:val="none" w:sz="0" w:space="0" w:color="auto"/>
        <w:right w:val="none" w:sz="0" w:space="0" w:color="auto"/>
      </w:divBdr>
    </w:div>
    <w:div w:id="1579367963">
      <w:bodyDiv w:val="1"/>
      <w:marLeft w:val="0"/>
      <w:marRight w:val="0"/>
      <w:marTop w:val="0"/>
      <w:marBottom w:val="0"/>
      <w:divBdr>
        <w:top w:val="none" w:sz="0" w:space="0" w:color="auto"/>
        <w:left w:val="none" w:sz="0" w:space="0" w:color="auto"/>
        <w:bottom w:val="none" w:sz="0" w:space="0" w:color="auto"/>
        <w:right w:val="none" w:sz="0" w:space="0" w:color="auto"/>
      </w:divBdr>
    </w:div>
    <w:div w:id="1656447669">
      <w:bodyDiv w:val="1"/>
      <w:marLeft w:val="0"/>
      <w:marRight w:val="0"/>
      <w:marTop w:val="0"/>
      <w:marBottom w:val="0"/>
      <w:divBdr>
        <w:top w:val="none" w:sz="0" w:space="0" w:color="auto"/>
        <w:left w:val="none" w:sz="0" w:space="0" w:color="auto"/>
        <w:bottom w:val="none" w:sz="0" w:space="0" w:color="auto"/>
        <w:right w:val="none" w:sz="0" w:space="0" w:color="auto"/>
      </w:divBdr>
    </w:div>
    <w:div w:id="1743987139">
      <w:bodyDiv w:val="1"/>
      <w:marLeft w:val="0"/>
      <w:marRight w:val="0"/>
      <w:marTop w:val="0"/>
      <w:marBottom w:val="0"/>
      <w:divBdr>
        <w:top w:val="none" w:sz="0" w:space="0" w:color="auto"/>
        <w:left w:val="none" w:sz="0" w:space="0" w:color="auto"/>
        <w:bottom w:val="none" w:sz="0" w:space="0" w:color="auto"/>
        <w:right w:val="none" w:sz="0" w:space="0" w:color="auto"/>
      </w:divBdr>
    </w:div>
    <w:div w:id="1746412888">
      <w:bodyDiv w:val="1"/>
      <w:marLeft w:val="0"/>
      <w:marRight w:val="0"/>
      <w:marTop w:val="0"/>
      <w:marBottom w:val="0"/>
      <w:divBdr>
        <w:top w:val="none" w:sz="0" w:space="0" w:color="auto"/>
        <w:left w:val="none" w:sz="0" w:space="0" w:color="auto"/>
        <w:bottom w:val="none" w:sz="0" w:space="0" w:color="auto"/>
        <w:right w:val="none" w:sz="0" w:space="0" w:color="auto"/>
      </w:divBdr>
    </w:div>
    <w:div w:id="1794908376">
      <w:bodyDiv w:val="1"/>
      <w:marLeft w:val="0"/>
      <w:marRight w:val="0"/>
      <w:marTop w:val="0"/>
      <w:marBottom w:val="0"/>
      <w:divBdr>
        <w:top w:val="none" w:sz="0" w:space="0" w:color="auto"/>
        <w:left w:val="none" w:sz="0" w:space="0" w:color="auto"/>
        <w:bottom w:val="none" w:sz="0" w:space="0" w:color="auto"/>
        <w:right w:val="none" w:sz="0" w:space="0" w:color="auto"/>
      </w:divBdr>
    </w:div>
    <w:div w:id="1827935539">
      <w:bodyDiv w:val="1"/>
      <w:marLeft w:val="0"/>
      <w:marRight w:val="0"/>
      <w:marTop w:val="0"/>
      <w:marBottom w:val="0"/>
      <w:divBdr>
        <w:top w:val="none" w:sz="0" w:space="0" w:color="auto"/>
        <w:left w:val="none" w:sz="0" w:space="0" w:color="auto"/>
        <w:bottom w:val="none" w:sz="0" w:space="0" w:color="auto"/>
        <w:right w:val="none" w:sz="0" w:space="0" w:color="auto"/>
      </w:divBdr>
      <w:divsChild>
        <w:div w:id="1011225996">
          <w:marLeft w:val="0"/>
          <w:marRight w:val="0"/>
          <w:marTop w:val="0"/>
          <w:marBottom w:val="0"/>
          <w:divBdr>
            <w:top w:val="none" w:sz="0" w:space="0" w:color="auto"/>
            <w:left w:val="none" w:sz="0" w:space="0" w:color="auto"/>
            <w:bottom w:val="none" w:sz="0" w:space="0" w:color="auto"/>
            <w:right w:val="none" w:sz="0" w:space="0" w:color="auto"/>
          </w:divBdr>
        </w:div>
        <w:div w:id="575700504">
          <w:marLeft w:val="0"/>
          <w:marRight w:val="0"/>
          <w:marTop w:val="0"/>
          <w:marBottom w:val="0"/>
          <w:divBdr>
            <w:top w:val="none" w:sz="0" w:space="0" w:color="auto"/>
            <w:left w:val="none" w:sz="0" w:space="0" w:color="auto"/>
            <w:bottom w:val="none" w:sz="0" w:space="0" w:color="auto"/>
            <w:right w:val="none" w:sz="0" w:space="0" w:color="auto"/>
          </w:divBdr>
        </w:div>
        <w:div w:id="456752534">
          <w:marLeft w:val="0"/>
          <w:marRight w:val="0"/>
          <w:marTop w:val="0"/>
          <w:marBottom w:val="0"/>
          <w:divBdr>
            <w:top w:val="none" w:sz="0" w:space="0" w:color="auto"/>
            <w:left w:val="none" w:sz="0" w:space="0" w:color="auto"/>
            <w:bottom w:val="none" w:sz="0" w:space="0" w:color="auto"/>
            <w:right w:val="none" w:sz="0" w:space="0" w:color="auto"/>
          </w:divBdr>
        </w:div>
        <w:div w:id="82915201">
          <w:marLeft w:val="0"/>
          <w:marRight w:val="0"/>
          <w:marTop w:val="0"/>
          <w:marBottom w:val="0"/>
          <w:divBdr>
            <w:top w:val="none" w:sz="0" w:space="0" w:color="auto"/>
            <w:left w:val="none" w:sz="0" w:space="0" w:color="auto"/>
            <w:bottom w:val="none" w:sz="0" w:space="0" w:color="auto"/>
            <w:right w:val="none" w:sz="0" w:space="0" w:color="auto"/>
          </w:divBdr>
        </w:div>
      </w:divsChild>
    </w:div>
    <w:div w:id="1957980423">
      <w:bodyDiv w:val="1"/>
      <w:marLeft w:val="0"/>
      <w:marRight w:val="0"/>
      <w:marTop w:val="0"/>
      <w:marBottom w:val="0"/>
      <w:divBdr>
        <w:top w:val="none" w:sz="0" w:space="0" w:color="auto"/>
        <w:left w:val="none" w:sz="0" w:space="0" w:color="auto"/>
        <w:bottom w:val="none" w:sz="0" w:space="0" w:color="auto"/>
        <w:right w:val="none" w:sz="0" w:space="0" w:color="auto"/>
      </w:divBdr>
    </w:div>
    <w:div w:id="2035689247">
      <w:bodyDiv w:val="1"/>
      <w:marLeft w:val="0"/>
      <w:marRight w:val="0"/>
      <w:marTop w:val="0"/>
      <w:marBottom w:val="0"/>
      <w:divBdr>
        <w:top w:val="none" w:sz="0" w:space="0" w:color="auto"/>
        <w:left w:val="none" w:sz="0" w:space="0" w:color="auto"/>
        <w:bottom w:val="none" w:sz="0" w:space="0" w:color="auto"/>
        <w:right w:val="none" w:sz="0" w:space="0" w:color="auto"/>
      </w:divBdr>
    </w:div>
    <w:div w:id="21180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nv.gov.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Convenci%C3%B3n_de_las_Naciones_Unidas_sobre_los_Contratos_de_Compraventa_Internacional_de_Mercader%C3%ADa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v.gob.ar" TargetMode="External"/><Relationship Id="rId11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AA3B-77DB-4AFA-A863-D55460FE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3400</Words>
  <Characters>18700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DUBROVSKY DARIO ALEJANDRO</cp:lastModifiedBy>
  <cp:revision>4</cp:revision>
  <dcterms:created xsi:type="dcterms:W3CDTF">2021-03-12T15:16:00Z</dcterms:created>
  <dcterms:modified xsi:type="dcterms:W3CDTF">2021-03-12T15:18:00Z</dcterms:modified>
</cp:coreProperties>
</file>